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E8" w:rsidRDefault="00DF26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20C1B" w:rsidTr="007224B1">
        <w:tc>
          <w:tcPr>
            <w:tcW w:w="14560" w:type="dxa"/>
            <w:shd w:val="clear" w:color="auto" w:fill="C5E0B3" w:themeFill="accent6" w:themeFillTint="66"/>
          </w:tcPr>
          <w:p w:rsidR="007224B1" w:rsidRDefault="007224B1" w:rsidP="007224B1">
            <w:pPr>
              <w:jc w:val="center"/>
              <w:rPr>
                <w:sz w:val="40"/>
                <w:szCs w:val="40"/>
              </w:rPr>
            </w:pPr>
            <w:r w:rsidRPr="007224B1">
              <w:rPr>
                <w:sz w:val="40"/>
                <w:szCs w:val="40"/>
              </w:rPr>
              <w:t xml:space="preserve">Проект бюджета МО </w:t>
            </w:r>
            <w:proofErr w:type="spellStart"/>
            <w:r>
              <w:rPr>
                <w:sz w:val="40"/>
                <w:szCs w:val="40"/>
              </w:rPr>
              <w:t>Кузнечнинское</w:t>
            </w:r>
            <w:proofErr w:type="spellEnd"/>
          </w:p>
          <w:p w:rsidR="00120C1B" w:rsidRPr="007224B1" w:rsidRDefault="007224B1" w:rsidP="007224B1">
            <w:pPr>
              <w:jc w:val="center"/>
              <w:rPr>
                <w:sz w:val="40"/>
                <w:szCs w:val="40"/>
              </w:rPr>
            </w:pPr>
            <w:r w:rsidRPr="007224B1">
              <w:rPr>
                <w:sz w:val="40"/>
                <w:szCs w:val="40"/>
              </w:rPr>
              <w:t xml:space="preserve"> городское поселение на 2022-2024 годы</w:t>
            </w:r>
          </w:p>
        </w:tc>
      </w:tr>
    </w:tbl>
    <w:p w:rsidR="00120C1B" w:rsidRDefault="00120C1B"/>
    <w:p w:rsidR="00120C1B" w:rsidRDefault="00120C1B"/>
    <w:p w:rsidR="00120C1B" w:rsidRDefault="007224B1">
      <w:r w:rsidRPr="007224B1">
        <w:drawing>
          <wp:inline distT="0" distB="0" distL="0" distR="0" wp14:anchorId="697C0BC2" wp14:editId="56DBF32F">
            <wp:extent cx="9239250" cy="4580890"/>
            <wp:effectExtent l="0" t="0" r="0" b="0"/>
            <wp:docPr id="7" name="Объект 8">
              <a:extLst xmlns:a="http://schemas.openxmlformats.org/drawingml/2006/main">
                <a:ext uri="{FF2B5EF4-FFF2-40B4-BE49-F238E27FC236}">
                  <a16:creationId xmlns:a16="http://schemas.microsoft.com/office/drawing/2014/main" id="{5535FA82-7C32-4475-8F48-38F3CD50D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8">
                      <a:extLst>
                        <a:ext uri="{FF2B5EF4-FFF2-40B4-BE49-F238E27FC236}">
                          <a16:creationId xmlns:a16="http://schemas.microsoft.com/office/drawing/2014/main" id="{5535FA82-7C32-4475-8F48-38F3CD50D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730" cy="45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B1" w:rsidRDefault="007224B1"/>
    <w:p w:rsidR="007224B1" w:rsidRDefault="007224B1" w:rsidP="007224B1">
      <w:pPr>
        <w:jc w:val="center"/>
        <w:rPr>
          <w:b/>
          <w:bCs/>
          <w:sz w:val="60"/>
          <w:szCs w:val="60"/>
        </w:rPr>
      </w:pPr>
      <w:r w:rsidRPr="007224B1">
        <w:rPr>
          <w:b/>
          <w:bCs/>
          <w:sz w:val="60"/>
          <w:szCs w:val="60"/>
        </w:rPr>
        <w:lastRenderedPageBreak/>
        <w:t>ОСНОВНЫЕ НАПРАВЛЕНИЯ</w:t>
      </w:r>
    </w:p>
    <w:p w:rsidR="007224B1" w:rsidRPr="007224B1" w:rsidRDefault="007224B1" w:rsidP="00924C81">
      <w:pPr>
        <w:jc w:val="center"/>
        <w:rPr>
          <w:b/>
          <w:bCs/>
          <w:sz w:val="50"/>
          <w:szCs w:val="50"/>
        </w:rPr>
      </w:pPr>
      <w:r w:rsidRPr="007224B1">
        <w:rPr>
          <w:b/>
          <w:bCs/>
          <w:sz w:val="60"/>
          <w:szCs w:val="60"/>
        </w:rPr>
        <w:t xml:space="preserve"> БЮДЖЕТНОЙ ПОЛИТИКИ:</w:t>
      </w:r>
    </w:p>
    <w:tbl>
      <w:tblPr>
        <w:tblW w:w="149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8"/>
      </w:tblGrid>
      <w:tr w:rsidR="00924C81" w:rsidTr="00924C81">
        <w:tblPrEx>
          <w:tblCellMar>
            <w:top w:w="0" w:type="dxa"/>
            <w:bottom w:w="0" w:type="dxa"/>
          </w:tblCellMar>
        </w:tblPrEx>
        <w:trPr>
          <w:trHeight w:val="8011"/>
        </w:trPr>
        <w:tc>
          <w:tcPr>
            <w:tcW w:w="14908" w:type="dxa"/>
            <w:shd w:val="clear" w:color="auto" w:fill="C5E0B3" w:themeFill="accent6" w:themeFillTint="66"/>
          </w:tcPr>
          <w:p w:rsidR="00924C81" w:rsidRPr="007224B1" w:rsidRDefault="00924C81" w:rsidP="00924C81">
            <w:pPr>
              <w:numPr>
                <w:ilvl w:val="0"/>
                <w:numId w:val="1"/>
              </w:numPr>
              <w:ind w:left="249"/>
              <w:rPr>
                <w:sz w:val="50"/>
                <w:szCs w:val="50"/>
              </w:rPr>
            </w:pPr>
            <w:r w:rsidRPr="007224B1">
              <w:rPr>
                <w:b/>
                <w:bCs/>
                <w:sz w:val="50"/>
                <w:szCs w:val="50"/>
              </w:rPr>
              <w:t>1. ВЫРАВНИВАНИЕ И СОХРАНЕНИЕ ТЕНДЕНЦИЙ УЛУЧШЕНИЯ ФИНАНСОВО-ЭКОНОМИЧЕСКОГО РАЗВИТИЯ ПОСЕЛЕНИЯ</w:t>
            </w:r>
          </w:p>
          <w:p w:rsidR="00924C81" w:rsidRPr="00924C81" w:rsidRDefault="00924C81" w:rsidP="00924C81">
            <w:pPr>
              <w:ind w:left="249"/>
              <w:rPr>
                <w:sz w:val="50"/>
                <w:szCs w:val="50"/>
              </w:rPr>
            </w:pPr>
          </w:p>
          <w:p w:rsidR="00924C81" w:rsidRPr="007224B1" w:rsidRDefault="00924C81" w:rsidP="00924C81">
            <w:pPr>
              <w:numPr>
                <w:ilvl w:val="0"/>
                <w:numId w:val="1"/>
              </w:numPr>
              <w:ind w:left="249"/>
              <w:rPr>
                <w:sz w:val="50"/>
                <w:szCs w:val="50"/>
              </w:rPr>
            </w:pPr>
            <w:r w:rsidRPr="007224B1">
              <w:rPr>
                <w:b/>
                <w:bCs/>
                <w:sz w:val="50"/>
                <w:szCs w:val="50"/>
              </w:rPr>
              <w:t>2. НЕОБХОДИМОСТЬ ИСПОЛНЕНИЯ ДЕЙСТВУЮЩИХ РАСХОДНЫХ ОБЯЗАТЕЛЬСТВ ПОСЕЛЕНИЯ</w:t>
            </w:r>
          </w:p>
          <w:p w:rsidR="00924C81" w:rsidRPr="00924C81" w:rsidRDefault="00924C81" w:rsidP="00924C81">
            <w:pPr>
              <w:ind w:left="249"/>
              <w:rPr>
                <w:sz w:val="50"/>
                <w:szCs w:val="50"/>
              </w:rPr>
            </w:pPr>
          </w:p>
          <w:p w:rsidR="00924C81" w:rsidRPr="00924C81" w:rsidRDefault="00924C81" w:rsidP="00924C81">
            <w:pPr>
              <w:numPr>
                <w:ilvl w:val="0"/>
                <w:numId w:val="1"/>
              </w:numPr>
              <w:ind w:left="249"/>
              <w:rPr>
                <w:sz w:val="50"/>
                <w:szCs w:val="50"/>
              </w:rPr>
            </w:pPr>
            <w:r w:rsidRPr="007224B1">
              <w:rPr>
                <w:b/>
                <w:bCs/>
                <w:sz w:val="50"/>
                <w:szCs w:val="50"/>
              </w:rPr>
              <w:t>3. ФОРМИРОВАНИЕ СИСТЕМЫ И УСЛОВИЙ ДЛЯ УСТОЙЧИВОГО ПОВЫШЕНИЯ ЭФФЕКТИВНОСТИ РАСХОДОВ БЮДЖЕТА</w:t>
            </w:r>
          </w:p>
          <w:p w:rsidR="00924C81" w:rsidRPr="007224B1" w:rsidRDefault="00924C81" w:rsidP="00924C81">
            <w:pPr>
              <w:ind w:left="249"/>
              <w:rPr>
                <w:sz w:val="50"/>
                <w:szCs w:val="50"/>
              </w:rPr>
            </w:pPr>
          </w:p>
          <w:p w:rsidR="00924C81" w:rsidRDefault="00924C81" w:rsidP="00924C81">
            <w:pPr>
              <w:numPr>
                <w:ilvl w:val="0"/>
                <w:numId w:val="1"/>
              </w:numPr>
              <w:ind w:left="249"/>
              <w:rPr>
                <w:b/>
                <w:bCs/>
                <w:sz w:val="50"/>
                <w:szCs w:val="50"/>
              </w:rPr>
            </w:pPr>
            <w:r w:rsidRPr="007224B1">
              <w:rPr>
                <w:b/>
                <w:bCs/>
                <w:sz w:val="50"/>
                <w:szCs w:val="50"/>
              </w:rPr>
              <w:t>4. ИСПОЛНЕНИЕ МАЙСКИХ УКАЗОВ ПРЕЗИДЕНТА РОССИИ</w:t>
            </w:r>
          </w:p>
        </w:tc>
      </w:tr>
    </w:tbl>
    <w:p w:rsidR="007224B1" w:rsidRDefault="007224B1">
      <w:pPr>
        <w:rPr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24C81" w:rsidTr="00924C81">
        <w:tc>
          <w:tcPr>
            <w:tcW w:w="14560" w:type="dxa"/>
          </w:tcPr>
          <w:p w:rsidR="00924C81" w:rsidRDefault="00924C81" w:rsidP="00924C81">
            <w:pPr>
              <w:jc w:val="center"/>
              <w:rPr>
                <w:b/>
                <w:bCs/>
                <w:sz w:val="40"/>
                <w:szCs w:val="40"/>
              </w:rPr>
            </w:pPr>
            <w:r w:rsidRPr="00924C81">
              <w:rPr>
                <w:b/>
                <w:bCs/>
                <w:sz w:val="40"/>
                <w:szCs w:val="40"/>
              </w:rPr>
              <w:lastRenderedPageBreak/>
              <w:t>ОСНОВНЫЕ ПАРАМЕТРЫ БЮДЖЕТА</w:t>
            </w:r>
          </w:p>
          <w:p w:rsidR="00924C81" w:rsidRDefault="00924C81" w:rsidP="00924C8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КУЗНЕЧНИНСКОЕ</w:t>
            </w:r>
            <w:r w:rsidRPr="00924C81">
              <w:rPr>
                <w:b/>
                <w:bCs/>
                <w:sz w:val="40"/>
                <w:szCs w:val="40"/>
              </w:rPr>
              <w:t xml:space="preserve"> ГОРОДСКОГО ПОСЕЛЕНИЯ </w:t>
            </w:r>
          </w:p>
        </w:tc>
      </w:tr>
    </w:tbl>
    <w:p w:rsidR="00924C81" w:rsidRPr="00BD2225" w:rsidRDefault="00924C81" w:rsidP="00924C81">
      <w:pPr>
        <w:pStyle w:val="a9"/>
        <w:ind w:right="-54" w:firstLine="709"/>
        <w:rPr>
          <w:b/>
          <w:bCs/>
          <w:szCs w:val="28"/>
        </w:rPr>
      </w:pPr>
    </w:p>
    <w:p w:rsidR="00924C81" w:rsidRPr="00BD2225" w:rsidRDefault="00924C81" w:rsidP="00924C81">
      <w:pPr>
        <w:tabs>
          <w:tab w:val="left" w:pos="2520"/>
          <w:tab w:val="left" w:pos="3060"/>
        </w:tabs>
        <w:rPr>
          <w:sz w:val="28"/>
          <w:szCs w:val="28"/>
        </w:rPr>
      </w:pPr>
      <w:r w:rsidRPr="00BD2225">
        <w:rPr>
          <w:sz w:val="28"/>
          <w:szCs w:val="28"/>
        </w:rPr>
        <w:t>тыс. рублей</w:t>
      </w:r>
    </w:p>
    <w:tbl>
      <w:tblPr>
        <w:tblW w:w="14493" w:type="dxa"/>
        <w:tblInd w:w="103" w:type="dxa"/>
        <w:tblLook w:val="04A0" w:firstRow="1" w:lastRow="0" w:firstColumn="1" w:lastColumn="0" w:noHBand="0" w:noVBand="1"/>
      </w:tblPr>
      <w:tblGrid>
        <w:gridCol w:w="6413"/>
        <w:gridCol w:w="2693"/>
        <w:gridCol w:w="2552"/>
        <w:gridCol w:w="2835"/>
      </w:tblGrid>
      <w:tr w:rsidR="00924C81" w:rsidRPr="00BD2225" w:rsidTr="00837983">
        <w:trPr>
          <w:trHeight w:val="649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Проект</w:t>
            </w:r>
            <w:r w:rsidRPr="00BD2225">
              <w:rPr>
                <w:b/>
                <w:bCs/>
                <w:sz w:val="28"/>
                <w:szCs w:val="28"/>
              </w:rPr>
              <w:br/>
              <w:t>на 2022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Проект</w:t>
            </w:r>
            <w:r w:rsidRPr="00BD2225">
              <w:rPr>
                <w:b/>
                <w:bCs/>
                <w:sz w:val="28"/>
                <w:szCs w:val="28"/>
              </w:rPr>
              <w:br/>
              <w:t>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Проект</w:t>
            </w:r>
            <w:r w:rsidRPr="00BD2225">
              <w:rPr>
                <w:b/>
                <w:bCs/>
                <w:sz w:val="28"/>
                <w:szCs w:val="28"/>
              </w:rPr>
              <w:br/>
              <w:t>на 2024 год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1. ДОХОДЫ (всего),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207569,2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57519,4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51553,6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51264,6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51450,1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51550,1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безвозмездные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156304,6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6069,3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3,5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2. РАСХОДЫ (всего)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209576,0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58507,4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52709,1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расходы без условно утвержденных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57044,7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50073,5</w:t>
            </w:r>
          </w:p>
        </w:tc>
      </w:tr>
      <w:tr w:rsidR="00924C81" w:rsidRPr="00BD2225" w:rsidTr="00837983">
        <w:trPr>
          <w:trHeight w:val="256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в том числе условно утвержденные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1462,7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2635,6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% условно утвержденных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3</w:t>
            </w:r>
          </w:p>
        </w:tc>
      </w:tr>
      <w:tr w:rsidR="00924C81" w:rsidRPr="00BD2225" w:rsidTr="00837983">
        <w:trPr>
          <w:trHeight w:val="66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ind w:firstLineChars="300" w:firstLine="840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</w:p>
        </w:tc>
      </w:tr>
      <w:tr w:rsidR="00924C81" w:rsidRPr="00BD2225" w:rsidTr="00837983">
        <w:trPr>
          <w:trHeight w:val="285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b/>
                <w:bCs/>
                <w:sz w:val="28"/>
                <w:szCs w:val="28"/>
              </w:rPr>
            </w:pPr>
            <w:r w:rsidRPr="00BD2225">
              <w:rPr>
                <w:b/>
                <w:bCs/>
                <w:sz w:val="28"/>
                <w:szCs w:val="28"/>
              </w:rPr>
              <w:t>3. ДЕФИЦИТ (-)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-2006,8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-988,0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b/>
                <w:sz w:val="28"/>
                <w:szCs w:val="28"/>
              </w:rPr>
            </w:pPr>
            <w:r w:rsidRPr="00BD2225">
              <w:rPr>
                <w:b/>
                <w:sz w:val="28"/>
                <w:szCs w:val="28"/>
              </w:rPr>
              <w:t>-1155,5</w:t>
            </w:r>
          </w:p>
        </w:tc>
      </w:tr>
      <w:tr w:rsidR="00924C81" w:rsidRPr="00BD2225" w:rsidTr="00837983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24C81" w:rsidRPr="00BD2225" w:rsidRDefault="00924C81" w:rsidP="00E82B7C">
            <w:pPr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 xml:space="preserve">% дефицита к </w:t>
            </w:r>
            <w:r w:rsidRPr="00BD2225">
              <w:rPr>
                <w:bCs/>
                <w:sz w:val="28"/>
                <w:szCs w:val="28"/>
              </w:rPr>
              <w:t xml:space="preserve">налоговым и неналоговым </w:t>
            </w:r>
            <w:r w:rsidRPr="00BD2225">
              <w:rPr>
                <w:sz w:val="28"/>
                <w:szCs w:val="28"/>
              </w:rPr>
              <w:t>доходам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24C81" w:rsidRPr="00BD2225" w:rsidRDefault="00924C81" w:rsidP="00E82B7C">
            <w:pPr>
              <w:jc w:val="center"/>
              <w:rPr>
                <w:sz w:val="28"/>
                <w:szCs w:val="28"/>
              </w:rPr>
            </w:pPr>
            <w:r w:rsidRPr="00BD2225">
              <w:rPr>
                <w:sz w:val="28"/>
                <w:szCs w:val="28"/>
              </w:rPr>
              <w:t>2,2</w:t>
            </w:r>
          </w:p>
        </w:tc>
      </w:tr>
    </w:tbl>
    <w:p w:rsidR="00924C81" w:rsidRDefault="00924C81" w:rsidP="00924C81">
      <w:pPr>
        <w:spacing w:after="200" w:line="276" w:lineRule="auto"/>
        <w:rPr>
          <w:b/>
          <w:caps/>
          <w:sz w:val="28"/>
          <w:szCs w:val="28"/>
        </w:rPr>
      </w:pPr>
      <w:r w:rsidRPr="00BD2225">
        <w:rPr>
          <w:b/>
          <w:caps/>
          <w:sz w:val="28"/>
          <w:szCs w:val="28"/>
        </w:rPr>
        <w:br w:type="page"/>
      </w:r>
    </w:p>
    <w:p w:rsidR="00924C81" w:rsidRDefault="00924C81" w:rsidP="00924C81">
      <w:pPr>
        <w:spacing w:after="200" w:line="276" w:lineRule="auto"/>
        <w:rPr>
          <w:b/>
          <w: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24C81" w:rsidTr="00924C81">
        <w:tc>
          <w:tcPr>
            <w:tcW w:w="14560" w:type="dxa"/>
          </w:tcPr>
          <w:p w:rsidR="00924C81" w:rsidRPr="00924C81" w:rsidRDefault="00924C81" w:rsidP="00924C81">
            <w:pPr>
              <w:spacing w:after="200" w:line="276" w:lineRule="auto"/>
              <w:jc w:val="center"/>
              <w:rPr>
                <w:color w:val="FF0000"/>
                <w:sz w:val="50"/>
                <w:szCs w:val="50"/>
              </w:rPr>
            </w:pPr>
            <w:r w:rsidRPr="00924C81">
              <w:rPr>
                <w:b/>
                <w:bCs/>
                <w:sz w:val="50"/>
                <w:szCs w:val="50"/>
              </w:rPr>
              <w:t>ОСНОВНЫЕ НАПРАВЛЕНИЯ НАЛОГОВОЙ ПОЛИТИКИ</w:t>
            </w:r>
          </w:p>
        </w:tc>
      </w:tr>
    </w:tbl>
    <w:p w:rsidR="00924C81" w:rsidRDefault="00924C81" w:rsidP="00924C81">
      <w:pPr>
        <w:spacing w:after="200" w:line="276" w:lineRule="auto"/>
        <w:rPr>
          <w:color w:val="FF0000"/>
        </w:rPr>
      </w:pPr>
    </w:p>
    <w:p w:rsidR="00924C81" w:rsidRPr="00924C81" w:rsidRDefault="00924C81" w:rsidP="00924C81">
      <w:pPr>
        <w:spacing w:after="200" w:line="276" w:lineRule="auto"/>
        <w:rPr>
          <w:color w:val="FF0000"/>
          <w:sz w:val="60"/>
          <w:szCs w:val="60"/>
        </w:rPr>
      </w:pPr>
    </w:p>
    <w:tbl>
      <w:tblPr>
        <w:tblW w:w="1461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0"/>
      </w:tblGrid>
      <w:tr w:rsidR="00924C81" w:rsidTr="00837983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14610" w:type="dxa"/>
            <w:shd w:val="clear" w:color="auto" w:fill="C5E0B3" w:themeFill="accent6" w:themeFillTint="66"/>
          </w:tcPr>
          <w:p w:rsidR="00924C81" w:rsidRPr="00924C81" w:rsidRDefault="00924C81" w:rsidP="00924C81">
            <w:pPr>
              <w:numPr>
                <w:ilvl w:val="0"/>
                <w:numId w:val="2"/>
              </w:numPr>
              <w:ind w:left="684"/>
              <w:rPr>
                <w:sz w:val="60"/>
                <w:szCs w:val="60"/>
              </w:rPr>
            </w:pPr>
            <w:r w:rsidRPr="00924C81">
              <w:rPr>
                <w:b/>
                <w:bCs/>
                <w:sz w:val="60"/>
                <w:szCs w:val="60"/>
              </w:rPr>
              <w:t>1. ОПТИМИЗАЦИЯ НАЛОГОВЫХ ЛЬГОТ</w:t>
            </w:r>
          </w:p>
          <w:p w:rsidR="00924C81" w:rsidRPr="00924C81" w:rsidRDefault="00924C81" w:rsidP="00924C81">
            <w:pPr>
              <w:ind w:left="684"/>
              <w:rPr>
                <w:sz w:val="60"/>
                <w:szCs w:val="60"/>
              </w:rPr>
            </w:pPr>
          </w:p>
          <w:p w:rsidR="00924C81" w:rsidRDefault="00924C81" w:rsidP="00924C81">
            <w:pPr>
              <w:numPr>
                <w:ilvl w:val="0"/>
                <w:numId w:val="2"/>
              </w:numPr>
              <w:ind w:left="684"/>
              <w:rPr>
                <w:b/>
                <w:bCs/>
                <w:sz w:val="60"/>
                <w:szCs w:val="60"/>
              </w:rPr>
            </w:pPr>
            <w:r w:rsidRPr="00924C81">
              <w:rPr>
                <w:b/>
                <w:bCs/>
                <w:sz w:val="60"/>
                <w:szCs w:val="60"/>
              </w:rPr>
              <w:t>2. УЛУЧШЕНИЕ АДМИНИСТРИРОВАНИЯ ДОХОДНЫХ ИСТОЧНИКОВ (РАБОТА ПО СОКРАЩЕНИЮ НЕДОИМКИ)</w:t>
            </w:r>
          </w:p>
        </w:tc>
      </w:tr>
    </w:tbl>
    <w:p w:rsidR="00924C81" w:rsidRDefault="00924C81" w:rsidP="00924C81">
      <w:pPr>
        <w:rPr>
          <w:sz w:val="60"/>
          <w:szCs w:val="60"/>
        </w:rPr>
      </w:pPr>
    </w:p>
    <w:p w:rsidR="00924C81" w:rsidRDefault="00924C81" w:rsidP="00924C81">
      <w:pPr>
        <w:rPr>
          <w:sz w:val="60"/>
          <w:szCs w:val="60"/>
        </w:rPr>
      </w:pPr>
    </w:p>
    <w:p w:rsidR="00924C81" w:rsidRDefault="00924C81" w:rsidP="00924C81">
      <w:pPr>
        <w:rPr>
          <w:sz w:val="60"/>
          <w:szCs w:val="60"/>
        </w:rPr>
      </w:pPr>
    </w:p>
    <w:tbl>
      <w:tblPr>
        <w:tblW w:w="0" w:type="auto"/>
        <w:tblInd w:w="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924C81" w:rsidTr="00924C8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00" w:type="dxa"/>
          </w:tcPr>
          <w:p w:rsidR="00924C81" w:rsidRDefault="00924C81" w:rsidP="00924C81">
            <w:pPr>
              <w:jc w:val="center"/>
              <w:rPr>
                <w:b/>
                <w:bCs/>
                <w:sz w:val="60"/>
                <w:szCs w:val="60"/>
              </w:rPr>
            </w:pPr>
            <w:r w:rsidRPr="00924C81">
              <w:rPr>
                <w:b/>
                <w:bCs/>
                <w:sz w:val="60"/>
                <w:szCs w:val="60"/>
              </w:rPr>
              <w:lastRenderedPageBreak/>
              <w:t>СТРУКТУРА ДОХОДОВ БЮДЖЕТА</w:t>
            </w:r>
          </w:p>
        </w:tc>
      </w:tr>
    </w:tbl>
    <w:p w:rsidR="00924C81" w:rsidRDefault="00FA1154" w:rsidP="00924C81">
      <w:pPr>
        <w:rPr>
          <w:sz w:val="60"/>
          <w:szCs w:val="60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8839200" cy="5734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5"/>
      </w:tblGrid>
      <w:tr w:rsidR="00FA1154" w:rsidTr="00FA115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4205" w:type="dxa"/>
          </w:tcPr>
          <w:p w:rsidR="00FA1154" w:rsidRDefault="009450DF" w:rsidP="00FA1154">
            <w:pPr>
              <w:ind w:left="99"/>
              <w:jc w:val="center"/>
              <w:rPr>
                <w:b/>
                <w:bCs/>
                <w:sz w:val="60"/>
                <w:szCs w:val="60"/>
              </w:rPr>
            </w:pPr>
            <w:r>
              <w:rPr>
                <w:b/>
                <w:bCs/>
                <w:sz w:val="60"/>
                <w:szCs w:val="60"/>
              </w:rPr>
              <w:lastRenderedPageBreak/>
              <w:t>СТРУКТУРА</w:t>
            </w:r>
            <w:r w:rsidR="00FA1154" w:rsidRPr="00FA1154">
              <w:rPr>
                <w:b/>
                <w:bCs/>
                <w:sz w:val="60"/>
                <w:szCs w:val="60"/>
              </w:rPr>
              <w:t xml:space="preserve"> НАЛОГОВЫХ И НЕНАЛОГОВЫХ ДОХОДОВ , тыс. руб.</w:t>
            </w:r>
          </w:p>
        </w:tc>
      </w:tr>
    </w:tbl>
    <w:p w:rsidR="00FA1154" w:rsidRDefault="00FA1154" w:rsidP="00FA1154">
      <w:pPr>
        <w:rPr>
          <w:sz w:val="60"/>
          <w:szCs w:val="60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8963025" cy="51625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Ind w:w="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D31BEA" w:rsidTr="00D31BE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635" w:type="dxa"/>
          </w:tcPr>
          <w:p w:rsidR="00D31BEA" w:rsidRDefault="00D31BEA" w:rsidP="009450DF">
            <w:pPr>
              <w:jc w:val="center"/>
              <w:rPr>
                <w:b/>
                <w:bCs/>
                <w:sz w:val="60"/>
                <w:szCs w:val="60"/>
              </w:rPr>
            </w:pPr>
            <w:r w:rsidRPr="00D31BEA">
              <w:rPr>
                <w:b/>
                <w:bCs/>
                <w:sz w:val="60"/>
                <w:szCs w:val="60"/>
              </w:rPr>
              <w:lastRenderedPageBreak/>
              <w:t xml:space="preserve">СТРУКТУРА </w:t>
            </w:r>
            <w:r w:rsidR="009450DF">
              <w:rPr>
                <w:b/>
                <w:bCs/>
                <w:sz w:val="60"/>
                <w:szCs w:val="60"/>
              </w:rPr>
              <w:t>НАЛОГОВЫХ</w:t>
            </w:r>
            <w:r w:rsidRPr="00D31BEA">
              <w:rPr>
                <w:b/>
                <w:bCs/>
                <w:sz w:val="60"/>
                <w:szCs w:val="60"/>
              </w:rPr>
              <w:t xml:space="preserve"> ДОХОДОВ</w:t>
            </w:r>
          </w:p>
        </w:tc>
      </w:tr>
    </w:tbl>
    <w:p w:rsidR="00D31BEA" w:rsidRDefault="009450DF" w:rsidP="00D31BEA">
      <w:pPr>
        <w:rPr>
          <w:sz w:val="60"/>
          <w:szCs w:val="60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9096375" cy="5476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0DF" w:rsidRDefault="009450DF" w:rsidP="00D31BEA">
      <w:pPr>
        <w:rPr>
          <w:sz w:val="60"/>
          <w:szCs w:val="60"/>
        </w:rPr>
      </w:pPr>
    </w:p>
    <w:p w:rsidR="009450DF" w:rsidRDefault="009450DF" w:rsidP="009450DF">
      <w:pPr>
        <w:jc w:val="center"/>
        <w:rPr>
          <w:b/>
          <w:bCs/>
          <w:sz w:val="60"/>
          <w:szCs w:val="60"/>
        </w:rPr>
      </w:pPr>
    </w:p>
    <w:tbl>
      <w:tblPr>
        <w:tblW w:w="0" w:type="auto"/>
        <w:tblInd w:w="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450DF" w:rsidTr="009450DF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0185" w:type="dxa"/>
          </w:tcPr>
          <w:p w:rsidR="009450DF" w:rsidRDefault="009450DF" w:rsidP="009450DF">
            <w:pPr>
              <w:jc w:val="center"/>
              <w:rPr>
                <w:b/>
                <w:bCs/>
                <w:sz w:val="60"/>
                <w:szCs w:val="60"/>
              </w:rPr>
            </w:pPr>
            <w:r w:rsidRPr="00D31BEA">
              <w:rPr>
                <w:b/>
                <w:bCs/>
                <w:sz w:val="60"/>
                <w:szCs w:val="60"/>
              </w:rPr>
              <w:t xml:space="preserve">СТРУКТУРА </w:t>
            </w:r>
            <w:r>
              <w:rPr>
                <w:b/>
                <w:bCs/>
                <w:sz w:val="60"/>
                <w:szCs w:val="60"/>
              </w:rPr>
              <w:t>НЕ</w:t>
            </w:r>
            <w:r>
              <w:rPr>
                <w:b/>
                <w:bCs/>
                <w:sz w:val="60"/>
                <w:szCs w:val="60"/>
              </w:rPr>
              <w:t>НАЛОГОВЫХ</w:t>
            </w:r>
            <w:r w:rsidRPr="00D31BEA">
              <w:rPr>
                <w:b/>
                <w:bCs/>
                <w:sz w:val="60"/>
                <w:szCs w:val="60"/>
              </w:rPr>
              <w:t xml:space="preserve"> </w:t>
            </w:r>
          </w:p>
          <w:p w:rsidR="009450DF" w:rsidRDefault="009450DF" w:rsidP="009450DF">
            <w:pPr>
              <w:jc w:val="center"/>
              <w:rPr>
                <w:b/>
                <w:bCs/>
                <w:sz w:val="60"/>
                <w:szCs w:val="60"/>
              </w:rPr>
            </w:pPr>
            <w:r w:rsidRPr="00D31BEA">
              <w:rPr>
                <w:b/>
                <w:bCs/>
                <w:sz w:val="60"/>
                <w:szCs w:val="60"/>
              </w:rPr>
              <w:t>ДОХОДОВ</w:t>
            </w:r>
          </w:p>
        </w:tc>
      </w:tr>
    </w:tbl>
    <w:p w:rsidR="009450DF" w:rsidRDefault="009450DF" w:rsidP="00D31BEA">
      <w:pPr>
        <w:rPr>
          <w:sz w:val="60"/>
          <w:szCs w:val="60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8896350" cy="4495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0DF" w:rsidRDefault="009450DF" w:rsidP="00D31BEA">
      <w:pPr>
        <w:rPr>
          <w:sz w:val="60"/>
          <w:szCs w:val="60"/>
        </w:rPr>
      </w:pPr>
    </w:p>
    <w:tbl>
      <w:tblPr>
        <w:tblW w:w="1519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5"/>
      </w:tblGrid>
      <w:tr w:rsidR="00687119" w:rsidTr="00837983">
        <w:tblPrEx>
          <w:tblCellMar>
            <w:top w:w="0" w:type="dxa"/>
            <w:bottom w:w="0" w:type="dxa"/>
          </w:tblCellMar>
        </w:tblPrEx>
        <w:trPr>
          <w:trHeight w:val="10755"/>
        </w:trPr>
        <w:tc>
          <w:tcPr>
            <w:tcW w:w="15195" w:type="dxa"/>
            <w:shd w:val="clear" w:color="auto" w:fill="C5E0B3" w:themeFill="accent6" w:themeFillTint="66"/>
          </w:tcPr>
          <w:p w:rsidR="00687119" w:rsidRDefault="00687119" w:rsidP="00687119">
            <w:pPr>
              <w:ind w:left="219"/>
              <w:rPr>
                <w:b/>
                <w:bCs/>
                <w:i/>
                <w:iCs/>
                <w:sz w:val="50"/>
                <w:szCs w:val="50"/>
              </w:rPr>
            </w:pPr>
            <w:r w:rsidRPr="00687119">
              <w:rPr>
                <w:b/>
                <w:bCs/>
                <w:i/>
                <w:iCs/>
                <w:sz w:val="50"/>
                <w:szCs w:val="50"/>
              </w:rPr>
              <w:lastRenderedPageBreak/>
              <w:t>НАЛОГОВЫЕ ДОХОДЫ</w:t>
            </w:r>
            <w:r w:rsidRPr="00687119">
              <w:rPr>
                <w:b/>
                <w:bCs/>
                <w:sz w:val="50"/>
                <w:szCs w:val="50"/>
              </w:rPr>
              <w:t xml:space="preserve"> </w:t>
            </w:r>
            <w:r w:rsidRPr="00687119">
              <w:rPr>
                <w:sz w:val="50"/>
                <w:szCs w:val="50"/>
              </w:rPr>
              <w:t xml:space="preserve">– </w:t>
            </w:r>
            <w:r w:rsidRPr="00687119">
              <w:rPr>
                <w:i/>
                <w:iCs/>
                <w:sz w:val="50"/>
                <w:szCs w:val="50"/>
              </w:rPr>
              <w:t>занимают центральное место в системе доходов любого бюджета бюджетной системы. К ним относятся предусмотренные налоговым законодательством Российской Федерации федеральные, региональные и местные налоги и сборы, а также пени и штрафы. Налоговые доходы разграничиваются между бюджетами различных уровней бюджетной системы в соответствии с налоговым и бюджетным законодательством. Налоговый кодекс Российской Федерации устанавливает федеральные, региональные и местные налоги и сборы, а также специальные налоговые режимы. Разграничение федеральных налогов между бюджетами различных уровней бюджетной системы производится на основе нормативов (процентных) отчислений. При этом данные нормативы закреплены в Бюджетном кодексе и являются едиными и постоянными для бюджетов различных уровней бюджетной системы Российской Федерации</w:t>
            </w:r>
            <w:r w:rsidRPr="00687119">
              <w:rPr>
                <w:b/>
                <w:bCs/>
                <w:sz w:val="50"/>
                <w:szCs w:val="50"/>
              </w:rPr>
              <w:t>.</w:t>
            </w:r>
          </w:p>
        </w:tc>
      </w:tr>
    </w:tbl>
    <w:p w:rsidR="00687119" w:rsidRDefault="00687119" w:rsidP="00837983">
      <w:pPr>
        <w:shd w:val="clear" w:color="auto" w:fill="C5E0B3" w:themeFill="accent6" w:themeFillTint="66"/>
        <w:rPr>
          <w:sz w:val="50"/>
          <w:szCs w:val="50"/>
        </w:rPr>
      </w:pPr>
    </w:p>
    <w:tbl>
      <w:tblPr>
        <w:tblW w:w="1495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5"/>
      </w:tblGrid>
      <w:tr w:rsidR="00687119" w:rsidTr="00687119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14955" w:type="dxa"/>
          </w:tcPr>
          <w:p w:rsidR="00687119" w:rsidRPr="00687119" w:rsidRDefault="00687119" w:rsidP="00837983">
            <w:pPr>
              <w:shd w:val="clear" w:color="auto" w:fill="C5E0B3" w:themeFill="accent6" w:themeFillTint="66"/>
              <w:jc w:val="center"/>
              <w:rPr>
                <w:sz w:val="40"/>
                <w:szCs w:val="40"/>
              </w:rPr>
            </w:pPr>
            <w:r w:rsidRPr="00687119">
              <w:rPr>
                <w:sz w:val="50"/>
                <w:szCs w:val="50"/>
              </w:rPr>
              <w:br/>
            </w:r>
            <w:r w:rsidRPr="00687119">
              <w:rPr>
                <w:sz w:val="40"/>
                <w:szCs w:val="40"/>
              </w:rPr>
              <w:t xml:space="preserve">БЕЗВОЗМЕЗДНЫЕ ПОСТУПЛЕНИЯ – </w:t>
            </w:r>
            <w:r w:rsidRPr="00687119">
              <w:rPr>
                <w:sz w:val="40"/>
                <w:szCs w:val="40"/>
              </w:rPr>
              <w:br/>
              <w:t xml:space="preserve">дотации, субсидии, субвенции и иные межбюджетные трансферты, полученные из других бюджетов бюджетной системы Российской Федерации; безвозмездные поступления от физических и юридических лиц, в том числе </w:t>
            </w:r>
            <w:r w:rsidRPr="00687119">
              <w:rPr>
                <w:sz w:val="40"/>
                <w:szCs w:val="40"/>
              </w:rPr>
              <w:t>добровольные пожертвования</w:t>
            </w:r>
          </w:p>
          <w:p w:rsidR="00687119" w:rsidRDefault="00687119" w:rsidP="00837983">
            <w:pPr>
              <w:shd w:val="clear" w:color="auto" w:fill="C5E0B3" w:themeFill="accent6" w:themeFillTint="66"/>
              <w:ind w:left="174"/>
              <w:rPr>
                <w:sz w:val="50"/>
                <w:szCs w:val="50"/>
              </w:rPr>
            </w:pPr>
          </w:p>
        </w:tc>
      </w:tr>
    </w:tbl>
    <w:p w:rsidR="00687119" w:rsidRDefault="00687119" w:rsidP="00687119">
      <w:pPr>
        <w:rPr>
          <w:b/>
          <w:bCs/>
          <w:i/>
          <w:iCs/>
          <w:sz w:val="30"/>
          <w:szCs w:val="30"/>
        </w:rPr>
      </w:pPr>
    </w:p>
    <w:p w:rsidR="00687119" w:rsidRDefault="00687119" w:rsidP="00687119">
      <w:pPr>
        <w:rPr>
          <w:b/>
          <w:bCs/>
          <w:i/>
          <w:iCs/>
          <w:sz w:val="30"/>
          <w:szCs w:val="30"/>
        </w:rPr>
      </w:pPr>
    </w:p>
    <w:tbl>
      <w:tblPr>
        <w:tblW w:w="146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  <w:gridCol w:w="7230"/>
      </w:tblGrid>
      <w:tr w:rsidR="00687119" w:rsidTr="00687119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7410" w:type="dxa"/>
          </w:tcPr>
          <w:p w:rsidR="00687119" w:rsidRPr="00687119" w:rsidRDefault="00687119" w:rsidP="00687119">
            <w:pPr>
              <w:rPr>
                <w:sz w:val="50"/>
                <w:szCs w:val="50"/>
              </w:rPr>
            </w:pPr>
            <w:r w:rsidRPr="00687119">
              <w:rPr>
                <w:b/>
                <w:bCs/>
                <w:i/>
                <w:iCs/>
                <w:sz w:val="30"/>
                <w:szCs w:val="30"/>
              </w:rPr>
              <w:t xml:space="preserve">ДОТАЦИИ </w:t>
            </w:r>
            <w:r w:rsidRPr="00687119">
              <w:rPr>
                <w:i/>
                <w:iCs/>
                <w:sz w:val="30"/>
                <w:szCs w:val="30"/>
              </w:rPr>
              <w:t xml:space="preserve">- </w:t>
            </w:r>
            <w:r w:rsidRPr="00687119">
              <w:rPr>
                <w:i/>
                <w:iCs/>
                <w:sz w:val="30"/>
                <w:szCs w:val="30"/>
              </w:rPr>
              <w:t xml:space="preserve">средства, предоставляемые бюджету другого уровня бюджетной системы на </w:t>
            </w:r>
            <w:proofErr w:type="gramStart"/>
            <w:r w:rsidRPr="00687119">
              <w:rPr>
                <w:i/>
                <w:iCs/>
                <w:sz w:val="30"/>
                <w:szCs w:val="30"/>
              </w:rPr>
              <w:t>безвозмездной  и</w:t>
            </w:r>
            <w:proofErr w:type="gramEnd"/>
            <w:r w:rsidRPr="00687119">
              <w:rPr>
                <w:i/>
                <w:iCs/>
                <w:sz w:val="30"/>
                <w:szCs w:val="30"/>
              </w:rPr>
              <w:t xml:space="preserve"> безвозвратной основе без установления направлений и (или) условий их использования</w:t>
            </w:r>
          </w:p>
          <w:p w:rsidR="00687119" w:rsidRDefault="00687119" w:rsidP="00687119">
            <w:pPr>
              <w:ind w:left="39"/>
              <w:rPr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7230" w:type="dxa"/>
          </w:tcPr>
          <w:p w:rsidR="00687119" w:rsidRPr="00687119" w:rsidRDefault="00687119" w:rsidP="00687119">
            <w:pPr>
              <w:rPr>
                <w:bCs/>
                <w:i/>
                <w:iCs/>
                <w:sz w:val="30"/>
                <w:szCs w:val="30"/>
              </w:rPr>
            </w:pPr>
            <w:r w:rsidRPr="00687119">
              <w:rPr>
                <w:bCs/>
                <w:i/>
                <w:iCs/>
                <w:sz w:val="30"/>
                <w:szCs w:val="30"/>
              </w:rPr>
              <w:t>СУБСИДИИ -</w:t>
            </w:r>
            <w:r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Pr="00687119">
              <w:rPr>
                <w:bCs/>
                <w:i/>
                <w:iCs/>
                <w:sz w:val="30"/>
                <w:szCs w:val="30"/>
              </w:rPr>
              <w:t xml:space="preserve">средства, предоставляемые бюджету другого уровня бюджетной системы в целях </w:t>
            </w:r>
            <w:proofErr w:type="spellStart"/>
            <w:r w:rsidRPr="00687119">
              <w:rPr>
                <w:bCs/>
                <w:i/>
                <w:iCs/>
                <w:sz w:val="30"/>
                <w:szCs w:val="30"/>
              </w:rPr>
              <w:t>софинансирования</w:t>
            </w:r>
            <w:proofErr w:type="spellEnd"/>
            <w:r w:rsidRPr="00687119">
              <w:rPr>
                <w:bCs/>
                <w:i/>
                <w:iCs/>
                <w:sz w:val="30"/>
                <w:szCs w:val="30"/>
              </w:rPr>
              <w:t xml:space="preserve"> расходных обязательств муниципальных образований.</w:t>
            </w:r>
          </w:p>
          <w:p w:rsidR="00687119" w:rsidRPr="00687119" w:rsidRDefault="00687119" w:rsidP="00687119">
            <w:pPr>
              <w:rPr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687119" w:rsidRDefault="00687119" w:rsidP="00687119">
      <w:pPr>
        <w:rPr>
          <w:sz w:val="50"/>
          <w:szCs w:val="50"/>
        </w:rPr>
      </w:pPr>
      <w:r>
        <w:rPr>
          <w:sz w:val="50"/>
          <w:szCs w:val="50"/>
        </w:rPr>
        <w:t xml:space="preserve">   </w:t>
      </w:r>
    </w:p>
    <w:p w:rsidR="00687119" w:rsidRDefault="00687119" w:rsidP="00687119">
      <w:pPr>
        <w:rPr>
          <w:sz w:val="50"/>
          <w:szCs w:val="50"/>
        </w:rPr>
      </w:pPr>
    </w:p>
    <w:tbl>
      <w:tblPr>
        <w:tblW w:w="0" w:type="auto"/>
        <w:tblInd w:w="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0"/>
      </w:tblGrid>
      <w:tr w:rsidR="00687119" w:rsidTr="0068711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270" w:type="dxa"/>
          </w:tcPr>
          <w:p w:rsidR="00687119" w:rsidRDefault="00687119" w:rsidP="00687119">
            <w:pPr>
              <w:jc w:val="center"/>
              <w:rPr>
                <w:b/>
                <w:bCs/>
                <w:sz w:val="50"/>
                <w:szCs w:val="50"/>
              </w:rPr>
            </w:pPr>
            <w:r w:rsidRPr="00687119">
              <w:rPr>
                <w:b/>
                <w:bCs/>
                <w:sz w:val="50"/>
                <w:szCs w:val="50"/>
              </w:rPr>
              <w:lastRenderedPageBreak/>
              <w:t xml:space="preserve">СРАВНЕНИЕ РАСХОДОВ ЗА 2021-2024 ГОДЫ, </w:t>
            </w:r>
            <w:r>
              <w:rPr>
                <w:b/>
                <w:bCs/>
                <w:sz w:val="50"/>
                <w:szCs w:val="50"/>
              </w:rPr>
              <w:t>тыс</w:t>
            </w:r>
            <w:r w:rsidRPr="00687119">
              <w:rPr>
                <w:b/>
                <w:bCs/>
                <w:sz w:val="50"/>
                <w:szCs w:val="50"/>
              </w:rPr>
              <w:t xml:space="preserve">. </w:t>
            </w:r>
            <w:proofErr w:type="spellStart"/>
            <w:r w:rsidRPr="00687119">
              <w:rPr>
                <w:b/>
                <w:bCs/>
                <w:sz w:val="50"/>
                <w:szCs w:val="50"/>
              </w:rPr>
              <w:t>руб</w:t>
            </w:r>
            <w:proofErr w:type="spellEnd"/>
          </w:p>
        </w:tc>
      </w:tr>
    </w:tbl>
    <w:p w:rsidR="00687119" w:rsidRDefault="00687119" w:rsidP="00687119">
      <w:pPr>
        <w:rPr>
          <w:sz w:val="50"/>
          <w:szCs w:val="50"/>
        </w:rPr>
      </w:pPr>
    </w:p>
    <w:p w:rsidR="00687119" w:rsidRDefault="00687119" w:rsidP="00687119">
      <w:pPr>
        <w:rPr>
          <w:sz w:val="50"/>
          <w:szCs w:val="50"/>
        </w:rPr>
      </w:pPr>
      <w:r>
        <w:rPr>
          <w:noProof/>
          <w:sz w:val="50"/>
          <w:szCs w:val="50"/>
          <w:lang w:eastAsia="ru-RU"/>
        </w:rPr>
        <w:drawing>
          <wp:inline distT="0" distB="0" distL="0" distR="0">
            <wp:extent cx="9153525" cy="43434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787B" w:rsidRDefault="008F787B" w:rsidP="00687119">
      <w:pPr>
        <w:rPr>
          <w:sz w:val="50"/>
          <w:szCs w:val="50"/>
        </w:rPr>
      </w:pPr>
    </w:p>
    <w:p w:rsidR="008F787B" w:rsidRDefault="008F787B" w:rsidP="00687119">
      <w:pPr>
        <w:rPr>
          <w:sz w:val="50"/>
          <w:szCs w:val="50"/>
        </w:rPr>
      </w:pPr>
    </w:p>
    <w:p w:rsidR="008F787B" w:rsidRDefault="008F787B" w:rsidP="008F787B">
      <w:pPr>
        <w:jc w:val="center"/>
        <w:rPr>
          <w:b/>
          <w:bCs/>
          <w:sz w:val="50"/>
          <w:szCs w:val="50"/>
        </w:rPr>
      </w:pPr>
    </w:p>
    <w:tbl>
      <w:tblPr>
        <w:tblW w:w="0" w:type="auto"/>
        <w:tblInd w:w="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8F787B" w:rsidTr="008F787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045" w:type="dxa"/>
          </w:tcPr>
          <w:p w:rsidR="008F787B" w:rsidRDefault="008F787B" w:rsidP="008F787B">
            <w:pPr>
              <w:jc w:val="center"/>
              <w:rPr>
                <w:b/>
                <w:bCs/>
                <w:sz w:val="50"/>
                <w:szCs w:val="50"/>
              </w:rPr>
            </w:pPr>
            <w:r w:rsidRPr="008F787B">
              <w:rPr>
                <w:b/>
                <w:bCs/>
                <w:sz w:val="50"/>
                <w:szCs w:val="50"/>
              </w:rPr>
              <w:t>МУНИЦИПАЛЬНЫЕ ПРОГРАММЫ</w:t>
            </w:r>
          </w:p>
        </w:tc>
      </w:tr>
    </w:tbl>
    <w:p w:rsidR="008F787B" w:rsidRDefault="008F787B" w:rsidP="008F787B">
      <w:pPr>
        <w:jc w:val="center"/>
        <w:rPr>
          <w:b/>
          <w:bCs/>
          <w:sz w:val="50"/>
          <w:szCs w:val="50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8F787B" w:rsidTr="008F787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624" w:type="dxa"/>
          </w:tcPr>
          <w:p w:rsidR="008F787B" w:rsidRDefault="008F787B" w:rsidP="008F787B">
            <w:pPr>
              <w:ind w:left="-1869" w:firstLine="851"/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noProof/>
                <w:sz w:val="50"/>
                <w:szCs w:val="50"/>
                <w:lang w:eastAsia="ru-RU"/>
              </w:rPr>
              <w:drawing>
                <wp:inline distT="0" distB="0" distL="0" distR="0">
                  <wp:extent cx="6124575" cy="45339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F787B" w:rsidRDefault="008F787B" w:rsidP="008F787B">
      <w:pPr>
        <w:rPr>
          <w:sz w:val="50"/>
          <w:szCs w:val="50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5"/>
      </w:tblGrid>
      <w:tr w:rsidR="008F787B" w:rsidTr="008F787B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1295" w:type="dxa"/>
          </w:tcPr>
          <w:p w:rsidR="008F787B" w:rsidRDefault="008F787B" w:rsidP="008F787B">
            <w:pPr>
              <w:jc w:val="center"/>
              <w:rPr>
                <w:b/>
                <w:bCs/>
                <w:sz w:val="50"/>
                <w:szCs w:val="50"/>
              </w:rPr>
            </w:pPr>
            <w:r w:rsidRPr="008F787B">
              <w:rPr>
                <w:b/>
                <w:bCs/>
                <w:sz w:val="50"/>
                <w:szCs w:val="50"/>
              </w:rPr>
              <w:lastRenderedPageBreak/>
              <w:t xml:space="preserve">Подходы к формированию местного бюджета </w:t>
            </w:r>
            <w:r w:rsidRPr="008F787B">
              <w:rPr>
                <w:b/>
                <w:bCs/>
                <w:sz w:val="50"/>
                <w:szCs w:val="50"/>
              </w:rPr>
              <w:br/>
              <w:t>на 2021-2023 годы</w:t>
            </w:r>
          </w:p>
        </w:tc>
      </w:tr>
    </w:tbl>
    <w:p w:rsidR="008F787B" w:rsidRDefault="008F787B" w:rsidP="008F787B">
      <w:pPr>
        <w:jc w:val="center"/>
        <w:rPr>
          <w:b/>
          <w:bCs/>
          <w:sz w:val="50"/>
          <w:szCs w:val="50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2"/>
      </w:tblGrid>
      <w:tr w:rsidR="008F787B" w:rsidTr="00837983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7992" w:type="dxa"/>
            <w:shd w:val="clear" w:color="auto" w:fill="C5E0B3" w:themeFill="accent6" w:themeFillTint="66"/>
          </w:tcPr>
          <w:p w:rsidR="008F787B" w:rsidRPr="00B945D8" w:rsidRDefault="008F787B" w:rsidP="008F787B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8F787B" w:rsidRPr="008F787B" w:rsidRDefault="008F787B" w:rsidP="00B945D8">
            <w:pPr>
              <w:jc w:val="center"/>
              <w:rPr>
                <w:sz w:val="50"/>
                <w:szCs w:val="50"/>
              </w:rPr>
            </w:pPr>
            <w:r w:rsidRPr="00B945D8">
              <w:rPr>
                <w:i/>
                <w:iCs/>
                <w:sz w:val="30"/>
                <w:szCs w:val="30"/>
              </w:rPr>
              <w:t>Соблюдение уровня оплаты труда отдельных категорий работников бюджетной сферы в целях реализации Указа Президента Российской Федерации от 7 мая 2012 года № 597 «О</w:t>
            </w:r>
            <w:r w:rsidR="00B945D8">
              <w:rPr>
                <w:i/>
                <w:iCs/>
                <w:sz w:val="30"/>
                <w:szCs w:val="30"/>
              </w:rPr>
              <w:t xml:space="preserve"> </w:t>
            </w:r>
            <w:r w:rsidRPr="00B945D8">
              <w:rPr>
                <w:i/>
                <w:iCs/>
                <w:sz w:val="30"/>
                <w:szCs w:val="30"/>
              </w:rPr>
              <w:t>мероприятиях по реализации государственной социальной политики»</w:t>
            </w:r>
            <w:r w:rsidRPr="008F787B">
              <w:rPr>
                <w:i/>
                <w:iCs/>
                <w:sz w:val="50"/>
                <w:szCs w:val="50"/>
              </w:rPr>
              <w:t xml:space="preserve"> </w:t>
            </w:r>
          </w:p>
        </w:tc>
      </w:tr>
    </w:tbl>
    <w:p w:rsidR="008F787B" w:rsidRDefault="008F787B" w:rsidP="008F787B">
      <w:pPr>
        <w:rPr>
          <w:i/>
          <w:iCs/>
          <w:sz w:val="50"/>
          <w:szCs w:val="50"/>
        </w:rPr>
      </w:pPr>
    </w:p>
    <w:tbl>
      <w:tblPr>
        <w:tblW w:w="6843" w:type="dxa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3"/>
      </w:tblGrid>
      <w:tr w:rsidR="008F787B" w:rsidTr="00837983">
        <w:tblPrEx>
          <w:tblCellMar>
            <w:top w:w="0" w:type="dxa"/>
            <w:bottom w:w="0" w:type="dxa"/>
          </w:tblCellMar>
        </w:tblPrEx>
        <w:trPr>
          <w:trHeight w:val="3332"/>
        </w:trPr>
        <w:tc>
          <w:tcPr>
            <w:tcW w:w="6843" w:type="dxa"/>
            <w:shd w:val="clear" w:color="auto" w:fill="C5E0B3" w:themeFill="accent6" w:themeFillTint="66"/>
          </w:tcPr>
          <w:p w:rsidR="008F787B" w:rsidRPr="00B945D8" w:rsidRDefault="00B945D8" w:rsidP="008F787B">
            <w:pPr>
              <w:ind w:left="99"/>
              <w:rPr>
                <w:i/>
                <w:iCs/>
                <w:sz w:val="30"/>
                <w:szCs w:val="30"/>
              </w:rPr>
            </w:pPr>
            <w:bookmarkStart w:id="0" w:name="_GoBack"/>
            <w:r w:rsidRPr="00B945D8">
              <w:rPr>
                <w:i/>
                <w:iCs/>
                <w:sz w:val="30"/>
                <w:szCs w:val="30"/>
              </w:rPr>
              <w:t>Соблюдение уровня оплаты труда отдельных категорий</w:t>
            </w:r>
            <w:r w:rsidRPr="00B945D8">
              <w:rPr>
                <w:i/>
                <w:iCs/>
                <w:sz w:val="30"/>
                <w:szCs w:val="30"/>
              </w:rPr>
              <w:t xml:space="preserve"> </w:t>
            </w:r>
            <w:r w:rsidR="008F787B" w:rsidRPr="00B945D8">
              <w:rPr>
                <w:i/>
                <w:iCs/>
                <w:sz w:val="30"/>
                <w:szCs w:val="30"/>
              </w:rPr>
              <w:t>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  <w:bookmarkEnd w:id="0"/>
          </w:p>
        </w:tc>
      </w:tr>
    </w:tbl>
    <w:p w:rsidR="008F787B" w:rsidRDefault="008F787B" w:rsidP="008F787B">
      <w:pPr>
        <w:rPr>
          <w:sz w:val="50"/>
          <w:szCs w:val="50"/>
        </w:rPr>
      </w:pPr>
    </w:p>
    <w:p w:rsidR="008F787B" w:rsidRDefault="008F787B" w:rsidP="008F787B">
      <w:pPr>
        <w:rPr>
          <w:sz w:val="50"/>
          <w:szCs w:val="50"/>
        </w:rPr>
      </w:pPr>
    </w:p>
    <w:p w:rsidR="008F787B" w:rsidRPr="00687119" w:rsidRDefault="008F787B" w:rsidP="008F787B">
      <w:pPr>
        <w:rPr>
          <w:sz w:val="50"/>
          <w:szCs w:val="50"/>
        </w:rPr>
      </w:pPr>
      <w:r w:rsidRPr="008F787B">
        <w:rPr>
          <w:sz w:val="50"/>
          <w:szCs w:val="50"/>
        </w:rPr>
        <w:drawing>
          <wp:inline distT="0" distB="0" distL="0" distR="0" wp14:anchorId="49A7D5A5" wp14:editId="31434A01">
            <wp:extent cx="9324975" cy="6336327"/>
            <wp:effectExtent l="0" t="0" r="0" b="7620"/>
            <wp:docPr id="1026" name="Picture 2" descr="D:\5\Презентация бюджета 2020\19 спасибо за внимание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5\Презентация бюджета 2020\19 спасибо за внимание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24" cy="634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7B" w:rsidRPr="00687119" w:rsidSect="00924C8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F6" w:rsidRDefault="001E42F6" w:rsidP="00120C1B">
      <w:pPr>
        <w:spacing w:after="0" w:line="240" w:lineRule="auto"/>
      </w:pPr>
      <w:r>
        <w:separator/>
      </w:r>
    </w:p>
  </w:endnote>
  <w:endnote w:type="continuationSeparator" w:id="0">
    <w:p w:rsidR="001E42F6" w:rsidRDefault="001E42F6" w:rsidP="0012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F6" w:rsidRDefault="001E42F6" w:rsidP="00120C1B">
      <w:pPr>
        <w:spacing w:after="0" w:line="240" w:lineRule="auto"/>
      </w:pPr>
      <w:r>
        <w:separator/>
      </w:r>
    </w:p>
  </w:footnote>
  <w:footnote w:type="continuationSeparator" w:id="0">
    <w:p w:rsidR="001E42F6" w:rsidRDefault="001E42F6" w:rsidP="0012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649A"/>
    <w:multiLevelType w:val="hybridMultilevel"/>
    <w:tmpl w:val="4D1CAF80"/>
    <w:lvl w:ilvl="0" w:tplc="3A2AE7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2FD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285F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07D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4B0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A69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C6C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048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E3C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3E2186"/>
    <w:multiLevelType w:val="hybridMultilevel"/>
    <w:tmpl w:val="96A487E8"/>
    <w:lvl w:ilvl="0" w:tplc="53EAA2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CA8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6E8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2F3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C09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CEC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262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E48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406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B"/>
    <w:rsid w:val="00120C1B"/>
    <w:rsid w:val="001E42F6"/>
    <w:rsid w:val="00687119"/>
    <w:rsid w:val="007224B1"/>
    <w:rsid w:val="00837983"/>
    <w:rsid w:val="008F787B"/>
    <w:rsid w:val="00924C81"/>
    <w:rsid w:val="009450DF"/>
    <w:rsid w:val="00B945D8"/>
    <w:rsid w:val="00D31BEA"/>
    <w:rsid w:val="00DF26E8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BFD6"/>
  <w15:chartTrackingRefBased/>
  <w15:docId w15:val="{94A98187-D64C-4D48-8858-5E274B4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1B"/>
  </w:style>
  <w:style w:type="paragraph" w:styleId="a5">
    <w:name w:val="footer"/>
    <w:basedOn w:val="a"/>
    <w:link w:val="a6"/>
    <w:uiPriority w:val="99"/>
    <w:unhideWhenUsed/>
    <w:rsid w:val="0012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1B"/>
  </w:style>
  <w:style w:type="table" w:styleId="a7">
    <w:name w:val="Table Grid"/>
    <w:basedOn w:val="a1"/>
    <w:uiPriority w:val="39"/>
    <w:rsid w:val="001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4C81"/>
    <w:pPr>
      <w:ind w:left="720"/>
      <w:contextualSpacing/>
    </w:p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924C81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924C8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2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0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18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36047.199999999997</c:v>
                </c:pt>
                <c:pt idx="1">
                  <c:v>11793.6</c:v>
                </c:pt>
                <c:pt idx="2">
                  <c:v>60096.7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3-4FC0-B992-6DF84FF257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42539.1</c:v>
                </c:pt>
                <c:pt idx="1">
                  <c:v>8725.5</c:v>
                </c:pt>
                <c:pt idx="2">
                  <c:v>156304.6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3-4FC0-B992-6DF84FF257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42724.6</c:v>
                </c:pt>
                <c:pt idx="1">
                  <c:v>8725.5</c:v>
                </c:pt>
                <c:pt idx="2">
                  <c:v>6069.3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3-4FC0-B992-6DF84FF257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42824.6</c:v>
                </c:pt>
                <c:pt idx="1">
                  <c:v>8725.5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A3-4FC0-B992-6DF84FF25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115800"/>
        <c:axId val="603115472"/>
      </c:barChart>
      <c:catAx>
        <c:axId val="60311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115472"/>
        <c:crosses val="autoZero"/>
        <c:auto val="1"/>
        <c:lblAlgn val="ctr"/>
        <c:lblOffset val="100"/>
        <c:noMultiLvlLbl val="0"/>
      </c:catAx>
      <c:valAx>
        <c:axId val="60311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11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Утвержденный план 2021 г</c:v>
                </c:pt>
                <c:pt idx="1">
                  <c:v>2022 г</c:v>
                </c:pt>
                <c:pt idx="2">
                  <c:v>2023 г</c:v>
                </c:pt>
                <c:pt idx="3">
                  <c:v>2024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28412.799999999999</c:v>
                </c:pt>
                <c:pt idx="1">
                  <c:v>42539.1</c:v>
                </c:pt>
                <c:pt idx="2">
                  <c:v>42724.6</c:v>
                </c:pt>
                <c:pt idx="3">
                  <c:v>42824.6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30-42A1-A385-1C4F2153F9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Утвержденный план 2021 г</c:v>
                </c:pt>
                <c:pt idx="1">
                  <c:v>2022 г</c:v>
                </c:pt>
                <c:pt idx="2">
                  <c:v>2023 г</c:v>
                </c:pt>
                <c:pt idx="3">
                  <c:v>2024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12520.4</c:v>
                </c:pt>
                <c:pt idx="1">
                  <c:v>8725.5</c:v>
                </c:pt>
                <c:pt idx="2">
                  <c:v>8725.5</c:v>
                </c:pt>
                <c:pt idx="3">
                  <c:v>8725.5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30-42A1-A385-1C4F2153F9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Утвержденный план 2021 г</c:v>
                </c:pt>
                <c:pt idx="1">
                  <c:v>2022 г</c:v>
                </c:pt>
                <c:pt idx="2">
                  <c:v>2023 г</c:v>
                </c:pt>
                <c:pt idx="3">
                  <c:v>2024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30-42A1-A385-1C4F2153F9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Утвержденный план 2021 г</c:v>
                </c:pt>
                <c:pt idx="1">
                  <c:v>2022 г</c:v>
                </c:pt>
                <c:pt idx="2">
                  <c:v>2023 г</c:v>
                </c:pt>
                <c:pt idx="3">
                  <c:v>2024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30-42A1-A385-1C4F2153F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3114816"/>
        <c:axId val="603114160"/>
      </c:lineChart>
      <c:catAx>
        <c:axId val="60311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114160"/>
        <c:crosses val="autoZero"/>
        <c:auto val="1"/>
        <c:lblAlgn val="ctr"/>
        <c:lblOffset val="100"/>
        <c:noMultiLvlLbl val="0"/>
      </c:catAx>
      <c:valAx>
        <c:axId val="60311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11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A8-4E7C-8DAF-FAF2B98946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A8-4E7C-8DAF-FAF2B98946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A8-4E7C-8DAF-FAF2B98946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BA8-4E7C-8DAF-FAF2B98946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имущество</c:v>
                </c:pt>
                <c:pt idx="3">
                  <c:v>гос.пошлина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12100</c:v>
                </c:pt>
                <c:pt idx="1">
                  <c:v>1450</c:v>
                </c:pt>
                <c:pt idx="2">
                  <c:v>28954.1</c:v>
                </c:pt>
                <c:pt idx="3">
                  <c:v>34.1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C-4FF7-BBCF-DB22C57035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94-4E00-8676-F9E24D4586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94-4E00-8676-F9E24D4586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A94-4E00-8676-F9E24D4586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A94-4E00-8676-F9E24D4586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A94-4E00-8676-F9E24D4586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аренда земли</c:v>
                </c:pt>
                <c:pt idx="1">
                  <c:v>аренда помещения</c:v>
                </c:pt>
                <c:pt idx="2">
                  <c:v>найм</c:v>
                </c:pt>
                <c:pt idx="3">
                  <c:v>платные услуги</c:v>
                </c:pt>
                <c:pt idx="4">
                  <c:v>доходы от продажи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5838</c:v>
                </c:pt>
                <c:pt idx="1">
                  <c:v>1089.4000000000001</c:v>
                </c:pt>
                <c:pt idx="2">
                  <c:v>1798.1</c:v>
                </c:pt>
                <c:pt idx="3">
                  <c:v>130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B1-4006-A5E1-54C3E5E115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115384</c:v>
                </c:pt>
                <c:pt idx="1">
                  <c:v>209576</c:v>
                </c:pt>
                <c:pt idx="2">
                  <c:v>57044.7</c:v>
                </c:pt>
                <c:pt idx="3">
                  <c:v>50073.5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7-48E0-A175-584C986C5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57809176"/>
        <c:axId val="857808520"/>
      </c:barChart>
      <c:catAx>
        <c:axId val="857809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808520"/>
        <c:crosses val="autoZero"/>
        <c:auto val="1"/>
        <c:lblAlgn val="ctr"/>
        <c:lblOffset val="100"/>
        <c:noMultiLvlLbl val="0"/>
      </c:catAx>
      <c:valAx>
        <c:axId val="857808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80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E4-49DC-B82D-81FD2056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E4-49DC-B82D-81FD2056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E4-49DC-B82D-81FD20568B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E4-49DC-B82D-81FD20568B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E4-49DC-B82D-81FD20568B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E4-49DC-B82D-81FD20568B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3E4-49DC-B82D-81FD20568BCC}"/>
              </c:ext>
            </c:extLst>
          </c:dPt>
          <c:cat>
            <c:strRef>
              <c:f>Лист1!$A$2:$A$8</c:f>
              <c:strCache>
                <c:ptCount val="7"/>
                <c:pt idx="0">
                  <c:v>Культура-физкультура</c:v>
                </c:pt>
                <c:pt idx="1">
                  <c:v>качественное жилье</c:v>
                </c:pt>
                <c:pt idx="2">
                  <c:v>жкх</c:v>
                </c:pt>
                <c:pt idx="3">
                  <c:v>благоустройство</c:v>
                </c:pt>
                <c:pt idx="4">
                  <c:v>дороги</c:v>
                </c:pt>
                <c:pt idx="5">
                  <c:v>общественное развитие</c:v>
                </c:pt>
                <c:pt idx="6">
                  <c:v>муниципальная служба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20406.400000000001</c:v>
                </c:pt>
                <c:pt idx="1">
                  <c:v>6779.4</c:v>
                </c:pt>
                <c:pt idx="2">
                  <c:v>150956.6</c:v>
                </c:pt>
                <c:pt idx="3">
                  <c:v>7252.8</c:v>
                </c:pt>
                <c:pt idx="4">
                  <c:v>5772.4</c:v>
                </c:pt>
                <c:pt idx="5">
                  <c:v>1475.5</c:v>
                </c:pt>
                <c:pt idx="6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7-4274-BF85-F1693C4B4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A133-7AE0-4171-B900-34D6060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2022-02-21T12:14:00Z</dcterms:created>
  <dcterms:modified xsi:type="dcterms:W3CDTF">2022-02-21T13:58:00Z</dcterms:modified>
</cp:coreProperties>
</file>