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</w:pPr>
      <w:r w:rsidRPr="00E2386C">
        <w:rPr>
          <w:rFonts w:ascii="Book Antiqua" w:eastAsia="Times New Roman" w:hAnsi="Book Antiqua" w:cs="Book Antiqua"/>
          <w:b/>
          <w:bCs/>
          <w:noProof/>
          <w:sz w:val="24"/>
          <w:szCs w:val="20"/>
          <w:lang w:eastAsia="ru-RU"/>
        </w:rPr>
        <w:drawing>
          <wp:inline distT="0" distB="0" distL="0" distR="0">
            <wp:extent cx="47688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6C">
        <w:rPr>
          <w:rFonts w:ascii="Book Antiqua" w:eastAsia="Times New Roman" w:hAnsi="Book Antiqua" w:cs="Book Antiqua"/>
          <w:b/>
          <w:bCs/>
          <w:sz w:val="24"/>
          <w:szCs w:val="20"/>
          <w:lang w:eastAsia="ru-RU"/>
        </w:rPr>
        <w:t xml:space="preserve">          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  <w:t xml:space="preserve">    </w:t>
      </w:r>
      <w:r w:rsidRPr="00E2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КУЗНЕЧНИНСКОЕ ГОРОДСКОЕ ПОСЕЛЕНИЕ</w:t>
      </w:r>
    </w:p>
    <w:p w:rsidR="00E2386C" w:rsidRPr="006C5729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E2386C" w:rsidRPr="006C5729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 </w:t>
      </w:r>
      <w:proofErr w:type="gramStart"/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 </w:t>
      </w:r>
      <w:r w:rsidR="00FE4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18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»  ноября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</w:t>
      </w:r>
      <w:r w:rsidR="00FE4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128</w:t>
      </w:r>
      <w:r w:rsidRPr="00E23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E2386C" w:rsidRDefault="000417AC" w:rsidP="00E2386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установки </w:t>
      </w:r>
    </w:p>
    <w:p w:rsidR="00E2386C" w:rsidRDefault="000417AC" w:rsidP="00E2386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памятников, мемориальных досок и других </w:t>
      </w:r>
    </w:p>
    <w:p w:rsidR="00E2386C" w:rsidRDefault="000417AC" w:rsidP="00E2386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памятных знаков на территории муниципального</w:t>
      </w:r>
    </w:p>
    <w:p w:rsidR="000417AC" w:rsidRPr="000417AC" w:rsidRDefault="000417AC" w:rsidP="00E2386C">
      <w:pPr>
        <w:spacing w:after="0" w:line="270" w:lineRule="atLeast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E2386C" w:rsidRDefault="000417AC" w:rsidP="00E2386C">
      <w:pPr>
        <w:pStyle w:val="a3"/>
        <w:ind w:firstLine="708"/>
        <w:jc w:val="both"/>
        <w:rPr>
          <w:bCs/>
        </w:rPr>
      </w:pPr>
      <w:r w:rsidRPr="000417AC">
        <w:rPr>
          <w:sz w:val="24"/>
          <w:szCs w:val="24"/>
        </w:rPr>
        <w:t>Руководствуясь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Pr="000417AC">
        <w:rPr>
          <w:szCs w:val="28"/>
        </w:rPr>
        <w:t xml:space="preserve"> </w:t>
      </w:r>
      <w:r w:rsidR="00E2386C">
        <w:rPr>
          <w:sz w:val="24"/>
          <w:szCs w:val="24"/>
        </w:rPr>
        <w:t>Кузнечнинское городское поселение</w:t>
      </w:r>
      <w:r w:rsidR="00E2386C" w:rsidRPr="00E2386C">
        <w:rPr>
          <w:bCs/>
          <w:sz w:val="24"/>
          <w:szCs w:val="24"/>
        </w:rPr>
        <w:t xml:space="preserve"> </w:t>
      </w:r>
      <w:r w:rsidR="00E2386C">
        <w:rPr>
          <w:bCs/>
          <w:sz w:val="24"/>
          <w:szCs w:val="24"/>
        </w:rPr>
        <w:t>муниципального образования</w:t>
      </w:r>
      <w:r w:rsidR="00E2386C" w:rsidRPr="00F1659A">
        <w:rPr>
          <w:bCs/>
          <w:sz w:val="24"/>
          <w:szCs w:val="24"/>
        </w:rPr>
        <w:t xml:space="preserve"> Приозерский муниципальный район Ленинградской области</w:t>
      </w:r>
      <w:r w:rsidRPr="000417AC">
        <w:rPr>
          <w:szCs w:val="28"/>
        </w:rPr>
        <w:t xml:space="preserve">, </w:t>
      </w:r>
      <w:r w:rsidRPr="000417AC">
        <w:rPr>
          <w:sz w:val="24"/>
          <w:szCs w:val="24"/>
        </w:rPr>
        <w:t>в целях осуществления единой политики в области установки  памятников, мемориальных досок и других памятных знаков на территории муниципального образования</w:t>
      </w:r>
      <w:r w:rsidRPr="000417AC">
        <w:rPr>
          <w:szCs w:val="28"/>
        </w:rPr>
        <w:t xml:space="preserve"> </w:t>
      </w:r>
      <w:r w:rsidR="00E2386C">
        <w:rPr>
          <w:sz w:val="24"/>
          <w:szCs w:val="24"/>
        </w:rPr>
        <w:t>Кузнечнинское городское поселение,</w:t>
      </w:r>
      <w:r w:rsidRPr="000417AC">
        <w:rPr>
          <w:szCs w:val="28"/>
        </w:rPr>
        <w:t xml:space="preserve"> </w:t>
      </w:r>
      <w:r w:rsidR="00E2386C" w:rsidRPr="00F1659A">
        <w:rPr>
          <w:bCs/>
          <w:sz w:val="24"/>
          <w:szCs w:val="24"/>
        </w:rPr>
        <w:t>Совет депута</w:t>
      </w:r>
      <w:r w:rsidR="00E2386C">
        <w:rPr>
          <w:bCs/>
          <w:sz w:val="24"/>
          <w:szCs w:val="24"/>
        </w:rPr>
        <w:t xml:space="preserve">тов муниципального образования </w:t>
      </w:r>
      <w:r w:rsidR="00E2386C" w:rsidRPr="00F1659A">
        <w:rPr>
          <w:bCs/>
          <w:sz w:val="24"/>
          <w:szCs w:val="24"/>
        </w:rPr>
        <w:t>Кузнечнинское городское поселение</w:t>
      </w:r>
      <w:r w:rsidR="00E2386C">
        <w:rPr>
          <w:bCs/>
        </w:rPr>
        <w:t xml:space="preserve"> </w:t>
      </w:r>
      <w:r w:rsidR="00E2386C" w:rsidRPr="00203404">
        <w:rPr>
          <w:b/>
          <w:bCs/>
        </w:rPr>
        <w:t>РЕШИЛ:</w:t>
      </w:r>
    </w:p>
    <w:p w:rsidR="000417AC" w:rsidRPr="000417AC" w:rsidRDefault="000417AC" w:rsidP="00E2386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0417AC" w:rsidRPr="000417AC" w:rsidRDefault="000417AC" w:rsidP="00DB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«О порядке установки памятников, мемориальных досок и других памятных знаков на территории муниципального образования 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E2386C" w:rsidRPr="00E238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E2386C" w:rsidRPr="00E2386C" w:rsidRDefault="000417AC" w:rsidP="00DB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решение в средствах массовой информации  и</w:t>
      </w:r>
      <w:r w:rsidR="00E2386C" w:rsidRPr="00E238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МО 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Кузнечнинское городское поселение  </w:t>
      </w:r>
      <w:hyperlink r:id="rId6" w:history="1">
        <w:r w:rsidR="00E2386C" w:rsidRPr="005575DE">
          <w:rPr>
            <w:rStyle w:val="a5"/>
            <w:rFonts w:ascii="Times New Roman" w:eastAsia="Times New Roman" w:hAnsi="Times New Roman" w:cs="Times New Roman"/>
            <w:sz w:val="24"/>
            <w:szCs w:val="20"/>
            <w:lang w:eastAsia="ru-RU"/>
          </w:rPr>
          <w:t>www.</w:t>
        </w:r>
        <w:r w:rsidR="00E2386C" w:rsidRPr="005575D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kuznechnoe.lenobl.ru</w:t>
        </w:r>
      </w:hyperlink>
      <w:r w:rsid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86C" w:rsidRPr="00E2386C" w:rsidRDefault="00DB6B2C" w:rsidP="00DB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E2386C" w:rsidRPr="00E2386C" w:rsidRDefault="00DB6B2C" w:rsidP="00DB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Совета депутатов по экономике, бюджету, налогам, муниципальной собственности (председатель </w:t>
      </w:r>
      <w:proofErr w:type="spellStart"/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Балабушкина</w:t>
      </w:r>
      <w:proofErr w:type="spellEnd"/>
      <w:r w:rsidR="00E2386C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Е.П.).</w:t>
      </w: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2C" w:rsidRPr="00E2386C" w:rsidRDefault="00DB6B2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муниципального образования          </w:t>
      </w: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Кузнечнинское</w:t>
      </w:r>
      <w:proofErr w:type="spellEnd"/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                                              </w:t>
      </w:r>
      <w:proofErr w:type="spellStart"/>
      <w:r w:rsidRPr="00E2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О.А.Лисина</w:t>
      </w:r>
      <w:proofErr w:type="spellEnd"/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2C" w:rsidRDefault="00DB6B2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2C" w:rsidRPr="00E2386C" w:rsidRDefault="00DB6B2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6C" w:rsidRPr="00E2386C" w:rsidRDefault="00E2386C" w:rsidP="00E238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Разослано: дело-2, прокуратура-</w:t>
      </w:r>
      <w:proofErr w:type="gramStart"/>
      <w:r w:rsidRPr="00E2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1,  СМИ</w:t>
      </w:r>
      <w:proofErr w:type="gramEnd"/>
      <w:r w:rsidRPr="00E2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-1</w:t>
      </w:r>
    </w:p>
    <w:p w:rsidR="000417AC" w:rsidRPr="000417AC" w:rsidRDefault="000417AC" w:rsidP="00E2386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707"/>
      </w:tblGrid>
      <w:tr w:rsidR="000417AC" w:rsidRPr="000417AC" w:rsidTr="00142F60"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7AC" w:rsidRPr="000417AC" w:rsidRDefault="000417AC" w:rsidP="000417AC">
            <w:pPr>
              <w:spacing w:after="0" w:line="270" w:lineRule="atLeast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 xml:space="preserve">   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  <w:t> </w:t>
            </w:r>
          </w:p>
          <w:p w:rsidR="00FE4741" w:rsidRDefault="00FE4741" w:rsidP="000417A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04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r w:rsidR="001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0417AC" w:rsidRPr="000417AC" w:rsidRDefault="000417AC" w:rsidP="000417AC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4"/>
                <w:szCs w:val="24"/>
                <w:lang w:eastAsia="ru-RU"/>
              </w:rPr>
            </w:pPr>
            <w:r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0417AC" w:rsidRPr="000417AC" w:rsidRDefault="00142F60" w:rsidP="00FE474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ru-RU"/>
              </w:rPr>
            </w:pPr>
            <w:r w:rsidRPr="001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 городское поселение</w:t>
            </w:r>
            <w:r w:rsidRPr="00142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 w:rsidRPr="0014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7AC"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18</w:t>
            </w:r>
            <w:r w:rsidR="000417AC"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17AC"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7AC"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417AC" w:rsidRPr="000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E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</w:tr>
    </w:tbl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417AC" w:rsidRPr="00E54792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b/>
          <w:sz w:val="24"/>
          <w:szCs w:val="24"/>
          <w:lang w:eastAsia="ru-RU"/>
        </w:rPr>
      </w:pPr>
      <w:r w:rsidRPr="00E5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порядке установки памятников, мемориальных досок и других памятных знаков на территории муниципального образования </w:t>
      </w:r>
      <w:r w:rsidR="00142F60" w:rsidRPr="00E5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Кузнечнинское городское поселение</w:t>
      </w:r>
      <w:r w:rsidR="00142F60" w:rsidRPr="00E547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:rsidR="000417AC" w:rsidRPr="00E54792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b/>
          <w:sz w:val="24"/>
          <w:szCs w:val="24"/>
          <w:lang w:eastAsia="ru-RU"/>
        </w:rPr>
      </w:pPr>
      <w:r w:rsidRPr="00E54792">
        <w:rPr>
          <w:rFonts w:ascii="Exo 2" w:eastAsia="Times New Roman" w:hAnsi="Exo 2" w:cs="Times New Roman"/>
          <w:b/>
          <w:sz w:val="24"/>
          <w:szCs w:val="24"/>
          <w:lang w:eastAsia="ru-RU"/>
        </w:rPr>
        <w:t> </w:t>
      </w:r>
    </w:p>
    <w:p w:rsidR="00142F60" w:rsidRPr="000417AC" w:rsidRDefault="000417AC" w:rsidP="00142F60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25.06.2002 г. № 73-ФЗ «Об объектах культурного наследия (памятниках истории и культуры) народов Российской Федерации», Уставом муниципального образования </w:t>
      </w:r>
      <w:proofErr w:type="spellStart"/>
      <w:r w:rsidR="00142F60"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142F60"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142F60" w:rsidRPr="00142F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устанавливает основания и порядок установки памятников, мемориальных досок и других памятных знаков на территории  муниципального образования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42F60" w:rsidRPr="00E23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142F60" w:rsidRPr="00E2386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142F60">
        <w:rPr>
          <w:rFonts w:ascii="Times New Roman" w:hAnsi="Times New Roman" w:cs="Times New Roman"/>
          <w:bCs/>
          <w:sz w:val="24"/>
          <w:szCs w:val="24"/>
        </w:rPr>
        <w:t>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2270D8">
      <w:pPr>
        <w:numPr>
          <w:ilvl w:val="0"/>
          <w:numId w:val="1"/>
        </w:numPr>
        <w:tabs>
          <w:tab w:val="clear" w:pos="3763"/>
        </w:tabs>
        <w:spacing w:after="0" w:line="270" w:lineRule="atLeast"/>
        <w:ind w:left="0" w:firstLine="0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Общие положения</w:t>
      </w:r>
    </w:p>
    <w:p w:rsidR="000417AC" w:rsidRPr="000417AC" w:rsidRDefault="000417AC" w:rsidP="000417AC">
      <w:pPr>
        <w:spacing w:after="0" w:line="270" w:lineRule="atLeast"/>
        <w:ind w:left="4695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FF0A50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определяет: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критерии, являющиеся основаниями для принятия решений об увековечении памяти о выдающихся событиях в истории муниципального образования </w:t>
      </w:r>
      <w:r w:rsidR="00593AE6" w:rsidRPr="00FF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593AE6" w:rsidRPr="00FF0A5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593AE6" w:rsidRPr="00FF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муниципальное образование), а также личностей, достижения и вклад которых в сфере их деятельности принесли значимую пользу </w:t>
      </w:r>
      <w:r w:rsidR="00593AE6" w:rsidRPr="00FF0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</w:t>
      </w:r>
      <w:proofErr w:type="spellStart"/>
      <w:r w:rsidR="00593AE6" w:rsidRPr="00FF0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proofErr w:type="spellEnd"/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Отечеству;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финансирования работ по изготовлению и установке, а также ремонту, реставрации и воссозданию утраченных памятников, мемориальных досок;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учёта памятников, мемориальных досок и других памятных знаков, обязанности по их сохранению и поддержанию в эстетическом виде.</w:t>
      </w:r>
    </w:p>
    <w:p w:rsidR="000417AC" w:rsidRPr="000417AC" w:rsidRDefault="000417AC" w:rsidP="00435A0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Памятник - сооружение, предназначенное для увековечения людей, событий, объектов. Наиболее распространённые виды памятников - скульптурная группа, статуя, бюст, триумфальная арка, колонна, обелиск и т. д. В архитектурном плане памятники организуют пространство, нередко памятники выполняют роль визуального центра площади или другого общественного пространства</w:t>
      </w:r>
      <w:r w:rsidR="0043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7AC" w:rsidRPr="000417AC" w:rsidRDefault="000417AC" w:rsidP="00435A0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Мемориальная доска - плита с текстом (иногда с изображением), 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:rsidR="00951FB1" w:rsidRDefault="000417AC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</w:t>
      </w: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выдающихся людей, внесших вклад в историю муниципального образования, имеющих авторитет и известность среди жителей, в связи с профессиональной, общественной, военной, научной, культурной, благотворительной, а</w:t>
      </w:r>
      <w:r w:rsidR="0095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FB1" w:rsidRDefault="00951FB1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B1" w:rsidRDefault="00951FB1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D9" w:rsidRDefault="00E75AD9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иной деятельностью со значительными результатами для Российской Федерации,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FB1" w:rsidRPr="00951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</w:t>
      </w:r>
      <w:r w:rsidR="00951FB1" w:rsidRPr="0095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</w:t>
      </w:r>
      <w:r w:rsidR="00951FB1" w:rsidRPr="0095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:rsidR="000417AC" w:rsidRPr="000417AC" w:rsidRDefault="000417AC" w:rsidP="005D520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0417AC" w:rsidRPr="000417AC" w:rsidRDefault="000417AC" w:rsidP="000417AC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2. Критерии для принятия решений об установке памятников, мемориальных досок и других памятных знаков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5D520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муниципального образования;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образования, 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повышению его престижа и авторитета, и завоевавшим тем самым право на всеобщее уважение и благодарность жителей муниципального образования;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примеры проявления особого героизма, мужества, смелости, отваги.</w:t>
      </w:r>
    </w:p>
    <w:p w:rsidR="000417AC" w:rsidRPr="000417AC" w:rsidRDefault="000417AC" w:rsidP="005D520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Рассмотрение вопроса об установке памятника, мемориальной доски и другого памятного знака производится по истечении 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х) лет со дня события или смерти лица, об увековечении памяти которого ходатайствуют инициаторы.</w:t>
      </w:r>
    </w:p>
    <w:p w:rsidR="000417AC" w:rsidRPr="000417AC" w:rsidRDefault="000417AC" w:rsidP="005D520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лиц, удостоенных звания Героя Советского Союза, Героя Российской Федерации, Героя Социалистического Труда, полных кавалеров ордена Славы, награжденных орденом "За заслуги перед Отечеством", орденом Трудовой Славы, орденом Мужества, лиц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при исполнения воинского долга, а также лиц, удостоенных звания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20A"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«Почетный гражданин 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Кузнечнинское городское поселение Приозер</w:t>
      </w:r>
      <w:r w:rsidR="005D520A"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района»,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«Почетный гражданин 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района», ограничения по срокам обращения об установке памятника, мемориальной доски и другого памятного знака не распространяются.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3. Порядок рассмотрения ходатайств об установке памятников, мемориальных досок и других памятных знаков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5D520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 инициативой об установке памятника, 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20 человек.</w:t>
      </w:r>
    </w:p>
    <w:p w:rsidR="008D3875" w:rsidRDefault="000417AC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38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Письменное ходатайство об установке памятников, мемориальных досок и других памятных знаков и необходимые документы направляются на имя главы муниципального образования </w:t>
      </w:r>
      <w:r w:rsidR="005D520A" w:rsidRPr="005D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5D520A" w:rsidRPr="005D520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в Комиссию по рассмотрению вопросов об установке памятников, мемориальных досок и </w:t>
      </w:r>
    </w:p>
    <w:p w:rsidR="008D3875" w:rsidRDefault="008D3875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D9" w:rsidRDefault="00E75AD9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D9" w:rsidRDefault="00E75AD9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памятных знаков на территории муниципального образования (далее – Комиссия) для рассмотрения.</w:t>
      </w:r>
    </w:p>
    <w:p w:rsidR="000417AC" w:rsidRPr="000417AC" w:rsidRDefault="000417AC" w:rsidP="009331BF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Перечень документов, представляемых в комиссию: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историческая или историко-биографическая справка;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подтверждающих достоверность события или заслуги увековечиваемого лица;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предложение по проекту (эскиз, макет) памятника, мемориальной доски или другого памятного знака;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предложение по тексту надписи;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с указанием банковских реквизитов.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Порядок рассмотрения и принятия решений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Default="000417AC" w:rsidP="00EF0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Предложения</w:t>
      </w:r>
      <w:r w:rsidR="00144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обращения (ходатайства)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памятников, мемориальных досок и других памятных знаков направляются на имя главы муниципального образования</w:t>
      </w:r>
      <w:r w:rsidR="008B2D14" w:rsidRPr="008B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Кузнечнинское городское поселение</w:t>
      </w:r>
      <w:r w:rsidR="008B2D14" w:rsidRPr="008B2D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передаются на рассмотрение Комиссии, полномочия, количественный и персональный состав которой утверждаются решением Совета депутатов муниципального образования</w:t>
      </w:r>
      <w:r w:rsidR="008B2D14" w:rsidRPr="008B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Кузнечнинское городское поселение</w:t>
      </w:r>
      <w:r w:rsidR="008B2D14" w:rsidRPr="008B2D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17AC" w:rsidRPr="000417AC" w:rsidRDefault="000417AC" w:rsidP="00EF0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  <w:r w:rsidR="00E56F07" w:rsidRPr="00E56F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6F07"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E56F07" w:rsidRPr="00E5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56F07"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 в нем принимает участие не менее половины ее членов. Решение </w:t>
      </w:r>
      <w:r w:rsidR="00E56F07" w:rsidRPr="00E5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E56F07"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простым большинством голосов от числа присутствующих ее членов. </w:t>
      </w:r>
    </w:p>
    <w:p w:rsidR="000417AC" w:rsidRPr="000417AC" w:rsidRDefault="000417AC" w:rsidP="000A524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Комиссия проводит экспертизу поступивших предложений и даёт по ним официальное заключение для последующего рассмотрения на заседании Совета депутатов муниципального образования </w:t>
      </w:r>
      <w:r w:rsidR="000A524A" w:rsidRPr="000A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0A524A" w:rsidRPr="000A52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0A524A" w:rsidRPr="000A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Совет депутатов). </w:t>
      </w:r>
    </w:p>
    <w:p w:rsidR="000417AC" w:rsidRPr="000417AC" w:rsidRDefault="000417AC" w:rsidP="00A056F0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Место установки памятника, мемориальной доски, других памятных знаков, должны быть</w:t>
      </w:r>
      <w:r w:rsidR="00A056F0" w:rsidRPr="00A0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согласованы с администрацией муниципального образования и собственником здания. Администрация муниципального образования может отказать в согласовании установки 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 направляет своё мотивированное мнение Комиссии и инициаторам. </w:t>
      </w:r>
    </w:p>
    <w:p w:rsidR="00464629" w:rsidRDefault="000417AC" w:rsidP="0046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Проект, размеры, эскизные проекты размещения и оформления, памятников, мемориальных досок и других памятных знаков согласовывается с администраци</w:t>
      </w:r>
      <w:r w:rsidR="00464629" w:rsidRPr="004646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29" w:rsidRPr="0046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64629"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464629" w:rsidRPr="0046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0FE" w:rsidRDefault="000417AC" w:rsidP="0046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75AD9" w:rsidRDefault="00E75AD9" w:rsidP="0046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AC" w:rsidRPr="000417AC" w:rsidRDefault="000417AC" w:rsidP="00464629">
      <w:pPr>
        <w:spacing w:after="0" w:line="240" w:lineRule="auto"/>
        <w:ind w:firstLine="709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0417AC" w:rsidRPr="000417AC" w:rsidRDefault="000417AC" w:rsidP="001040FE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4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0417AC" w:rsidRPr="000417AC" w:rsidRDefault="000417AC" w:rsidP="00464629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Если установка мемориальных досок и других памятных знаков планируется 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 по охране памятников историко-культурного наследия </w:t>
      </w:r>
      <w:r w:rsidR="001B48EF" w:rsidRPr="001B48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 Согласование проводит ходатайствующая сторона.  </w:t>
      </w:r>
    </w:p>
    <w:p w:rsidR="000417AC" w:rsidRPr="000417AC" w:rsidRDefault="000417AC" w:rsidP="001B48EF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результате рассмотрения ходатайств Комиссия принимает одно из следующих решений: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ходатайство и рекомендовать Совету депутатов принять решение об установке памятника, мемориальной доски, памятного знака;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ходатайствующей стороне увековечить память события или деятеля в других формах.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отклонить ходатайство, направить обратившимся мотивированный отказ.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положительного решения Комиссия и администрация муниципального образования представляет на рассмотрение Совету депутатов проект решения об установке памятника, мемориальной доски или другого памятного знака. </w:t>
      </w:r>
    </w:p>
    <w:p w:rsidR="000417AC" w:rsidRPr="000417AC" w:rsidRDefault="000417AC" w:rsidP="00A3414D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оформляет протокол заседания, готовит решение комиссии и направляет свое решение главе муниципального образования </w:t>
      </w:r>
      <w:r w:rsidR="00A3414D" w:rsidRPr="00A34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A3414D" w:rsidRPr="00A3414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согласования. В случае согласования, принятого комиссией решения глава муниципального образования </w:t>
      </w:r>
      <w:r w:rsidR="00A3414D" w:rsidRPr="00A34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A3414D" w:rsidRPr="00A3414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</w:t>
      </w:r>
      <w:r w:rsidR="006D3121" w:rsidRPr="00A3414D">
        <w:rPr>
          <w:rFonts w:ascii="Times New Roman" w:hAnsi="Times New Roman" w:cs="Times New Roman"/>
          <w:bCs/>
          <w:sz w:val="24"/>
          <w:szCs w:val="24"/>
        </w:rPr>
        <w:t>муниципальный район Ленинградской области,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предложение об установке памятника, мемориальной доски и другого памятного знака на рассмотрение Совету депутатов.</w:t>
      </w:r>
    </w:p>
    <w:p w:rsidR="000417AC" w:rsidRPr="000417AC" w:rsidRDefault="000417AC" w:rsidP="002B7F3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Решение об установке памятника, мемориальной доски и другого памятного знака принимается на заседании Совета депутатов.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0417AC" w:rsidRPr="000417AC" w:rsidRDefault="000417AC" w:rsidP="002B7F3A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об установке мемориальной доски или другого памятного знака направляется заявителю и подлежит опубликованию в официальном печатном издании района, а также размещению на официальном сайте администрации муниципального образования </w:t>
      </w:r>
      <w:r w:rsidR="002B7F3A"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2B7F3A" w:rsidRPr="00142F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7AC" w:rsidRPr="000417AC" w:rsidRDefault="000417AC" w:rsidP="00761810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В случае если изготовление и установка памятника, мемориальной доски и другого памятного знака производятся за счёт инициатора, и в установленные сроки не выполнены, глава муниципального образования </w:t>
      </w:r>
      <w:r w:rsidR="00761810" w:rsidRPr="00761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761810" w:rsidRPr="0076181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761810" w:rsidRPr="007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предложение в Совет депутатов об отмене решения об установке такого памятника, мемориальной доски, другого памятного знака. 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Мемориальные доски могут устанавливаться за счёт бюджетных средств муниципального образования </w:t>
      </w:r>
      <w:r w:rsidR="002507A4" w:rsidRPr="00250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2507A4" w:rsidRPr="002507A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правового акта Совета депутатов, с определением источника финансирования.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FA05F2" w:rsidRDefault="00FA05F2" w:rsidP="002507A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D9" w:rsidRDefault="00E75AD9" w:rsidP="002507A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Размещение памятника, мемориальной доски и другого памятного знака с учётом его панорамного восприятия.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 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0417AC" w:rsidRPr="000417AC" w:rsidRDefault="000417AC" w:rsidP="002507A4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Порядок изготовления и установки памятников,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мемориальных досок, памятных знаков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D519FE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:rsidR="000417AC" w:rsidRPr="000417AC" w:rsidRDefault="000417AC" w:rsidP="00D519FE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основании решения Совета депутатов памятники, мемориальные доски и другие памятные знаки могут устанавливаться за счёт средств бюджета муниципального образования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9FE"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D519FE" w:rsidRPr="00142F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привлечённых внебюджетных средств) в следующих случаях: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мемориальных досок и других памятных знаков Почётным гражданам </w:t>
      </w:r>
      <w:r w:rsidR="00D519FE" w:rsidRPr="00D51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FE4741" w:rsidRDefault="000417AC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мемориальных досок и других памятных знаков выдающимся деятелям в государственной, общественной, политической, военной,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и </w:t>
      </w:r>
    </w:p>
    <w:p w:rsidR="00FE4741" w:rsidRDefault="00FE4741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41" w:rsidRDefault="00FE4741" w:rsidP="000417A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сферах, науке, технике, литературе, искусстве, культуре и спорте, деятельность которых имела особое значение для истории Отечества,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доски не может быть осуществлена за счёт средств ходатайствующей стороны;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мемориальных досок и других памятных знаков в память о событиях, имевших особое значение для истории и культуры </w:t>
      </w:r>
      <w:r w:rsidR="00D519FE" w:rsidRPr="00D51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0417AC" w:rsidRPr="000417AC" w:rsidRDefault="000417AC" w:rsidP="00D519FE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определении возможности сооружения и сроков установления 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0417AC" w:rsidRPr="000417AC" w:rsidRDefault="000417AC" w:rsidP="00D80119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Официальное открытие мемориальной доски или другого памятного знака проводится на специальной торжественной церемонии.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 7</w:t>
      </w: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Содержание, реставрация, ремонт, демонтаж памятников</w:t>
      </w:r>
      <w:r w:rsidRPr="000417AC">
        <w:rPr>
          <w:rFonts w:ascii="Times New Roman" w:eastAsia="Times New Roman" w:hAnsi="Times New Roman" w:cs="Times New Roman"/>
          <w:b/>
          <w:bCs/>
          <w:color w:val="355081"/>
          <w:sz w:val="24"/>
          <w:szCs w:val="24"/>
          <w:shd w:val="clear" w:color="auto" w:fill="FFFFFF"/>
          <w:lang w:eastAsia="ru-RU"/>
        </w:rPr>
        <w:t xml:space="preserve">,  </w:t>
      </w:r>
    </w:p>
    <w:p w:rsidR="000417AC" w:rsidRPr="000417AC" w:rsidRDefault="000417AC" w:rsidP="000417AC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  мемориальных досок, памятных знаков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857B8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Содержание, реставрация и ремонт, памятников, мемориальных досок, памятных знаков производится за счёт финансовых средств ходатайствующей стороны, по Решению Совета депутатов, с обязательным письменным уведомлением администрации муниципального образования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0417AC" w:rsidRPr="000417AC" w:rsidRDefault="000417AC" w:rsidP="00857B8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составляют памятники, мемориальные доски, другие памятные знаки, установленные за счёт бюджета муниципального образования </w:t>
      </w:r>
      <w:r w:rsidR="00857B8C" w:rsidRPr="00857B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857B8C" w:rsidRPr="00857B8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переданные в муниципальную собственность муниципального образования </w:t>
      </w:r>
      <w:r w:rsidR="00857B8C" w:rsidRPr="00857B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857B8C" w:rsidRPr="00857B8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содержание, реставрацию, ремонт и контроль за состоянием которых осуществляет администрация муниципального образования </w:t>
      </w:r>
      <w:r w:rsidR="00857B8C" w:rsidRPr="00857B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857B8C" w:rsidRPr="00857B8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 осуществляется за счёт средств бюджета муниципального образования и (или) за счёт безвозмездных поступлений от физических и юридических лиц. 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счёт собственных средств.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Памятники, мемориальные доски и другие памятные знаки демонтируются: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29C3" w:rsidRPr="00762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При разрушении, сносе здания, на фасаде которого установлена мемориальная доска.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7.5. Письменные ходатайства о демонтаже памятников, мемориальных досок и других памятных знаков направляются на имя главы муниципального образования и передаются в комиссию для рассмотрения.</w:t>
      </w:r>
    </w:p>
    <w:p w:rsidR="000417AC" w:rsidRPr="000417AC" w:rsidRDefault="000417AC" w:rsidP="007629C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Комиссия рассматривает ходатайство в течение 20 календарных дней со дня его регистрации.</w:t>
      </w:r>
    </w:p>
    <w:p w:rsidR="00FE4741" w:rsidRDefault="00FE4741" w:rsidP="007C038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41" w:rsidRDefault="00FE4741" w:rsidP="007C038C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AC" w:rsidRPr="000417AC" w:rsidRDefault="000417AC" w:rsidP="007C038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bookmarkStart w:id="0" w:name="_GoBack"/>
      <w:bookmarkEnd w:id="0"/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муниципального образования для согласования.</w:t>
      </w:r>
    </w:p>
    <w:p w:rsidR="000417AC" w:rsidRPr="000417AC" w:rsidRDefault="000417AC" w:rsidP="007C038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согласования принятого комиссией решения, глава муниципального образования вносит предложение о демонтаже памятника, мемориальной доски и другого памятного знака на рассмотрение Совета депутатов.</w:t>
      </w:r>
    </w:p>
    <w:p w:rsidR="000417AC" w:rsidRPr="000417AC" w:rsidRDefault="000417AC" w:rsidP="007C038C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Совет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 депутатов может проводится опрос населения по решению вопроса о демонтаже, переносе или реконструкции памятника, мемориальной доски, других памятных знаков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Exo 2" w:eastAsia="Times New Roman" w:hAnsi="Exo 2" w:cs="Times New Roman"/>
          <w:sz w:val="24"/>
          <w:szCs w:val="24"/>
          <w:lang w:eastAsia="ru-RU"/>
        </w:rPr>
        <w:t> 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Учёт памятников, мемориальных досок, 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 памятных знаков</w:t>
      </w:r>
    </w:p>
    <w:p w:rsidR="000417AC" w:rsidRPr="000417AC" w:rsidRDefault="000417AC" w:rsidP="000417AC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0417AC" w:rsidRPr="000417AC" w:rsidRDefault="000417AC" w:rsidP="005A365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Учёт памятников, мемориальных досок, других памятных знаков возлагается на администрацию муниципального образования</w:t>
      </w:r>
      <w:r w:rsidR="005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653"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5A3653" w:rsidRPr="00142F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7AC" w:rsidRPr="000417AC" w:rsidRDefault="000417AC" w:rsidP="005A3653">
      <w:pPr>
        <w:spacing w:after="0" w:line="270" w:lineRule="atLeast"/>
        <w:ind w:firstLine="708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Администрация муниципального образования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653"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="005A3653" w:rsidRPr="00142F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инвентаризацию памятников, мемориальных досок, других памятных знаков;</w:t>
      </w:r>
    </w:p>
    <w:p w:rsidR="000417AC" w:rsidRPr="000417AC" w:rsidRDefault="000417AC" w:rsidP="000417AC">
      <w:pPr>
        <w:spacing w:after="0" w:line="270" w:lineRule="atLeast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единый реестр памятников, мемориальных досок, других памятных знаков.</w:t>
      </w:r>
    </w:p>
    <w:p w:rsidR="000417AC" w:rsidRPr="000417AC" w:rsidRDefault="000417AC" w:rsidP="000417AC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0417AC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73957" w:rsidRPr="00542076" w:rsidRDefault="00373957" w:rsidP="00373957">
      <w:pPr>
        <w:shd w:val="clear" w:color="auto" w:fill="FFFFFF"/>
        <w:spacing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4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373957" w:rsidRPr="00542076" w:rsidRDefault="00373957" w:rsidP="00373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Предприятия, учреждения, организации и граждане обязаны обеспечивать сохранность памятных знаков. Контроль за состоянием и сохранностью памятных знаков на территории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Pr="00142F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ими совместно с администрацией </w:t>
      </w:r>
      <w:r w:rsidRPr="000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  <w:r w:rsidRPr="00142F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957" w:rsidRPr="00542076" w:rsidRDefault="00373957" w:rsidP="00373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Лица, чьи права и законные интересы нарушены в результате действий (бездействия)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373957" w:rsidRDefault="00373957" w:rsidP="003739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57" w:rsidRPr="00542076" w:rsidRDefault="00373957" w:rsidP="003739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7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4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</w:t>
      </w:r>
    </w:p>
    <w:p w:rsidR="00373957" w:rsidRPr="00542076" w:rsidRDefault="00373957" w:rsidP="0037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57" w:rsidRPr="00542076" w:rsidRDefault="00373957" w:rsidP="00373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4207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нарушение требований в области охраны, использования памятных знаков должностные лица, юридические и физические лица несут ответственность в соответствии с действующим законодательством.</w:t>
      </w:r>
    </w:p>
    <w:p w:rsidR="00373957" w:rsidRPr="00373957" w:rsidRDefault="00373957" w:rsidP="0037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2F" w:rsidRDefault="009E592F" w:rsidP="00373957">
      <w:pPr>
        <w:spacing w:after="0" w:line="240" w:lineRule="auto"/>
      </w:pPr>
    </w:p>
    <w:sectPr w:rsidR="009E592F" w:rsidSect="00CF441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C21"/>
    <w:multiLevelType w:val="multilevel"/>
    <w:tmpl w:val="C52A862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49"/>
    <w:rsid w:val="000417AC"/>
    <w:rsid w:val="000A524A"/>
    <w:rsid w:val="001040FE"/>
    <w:rsid w:val="00142F60"/>
    <w:rsid w:val="0014458E"/>
    <w:rsid w:val="001B48EF"/>
    <w:rsid w:val="001C6D8B"/>
    <w:rsid w:val="002270D8"/>
    <w:rsid w:val="002507A4"/>
    <w:rsid w:val="002B7F3A"/>
    <w:rsid w:val="00357B32"/>
    <w:rsid w:val="00373957"/>
    <w:rsid w:val="00394349"/>
    <w:rsid w:val="0040776D"/>
    <w:rsid w:val="0042120B"/>
    <w:rsid w:val="00435A0C"/>
    <w:rsid w:val="00464629"/>
    <w:rsid w:val="00593AE6"/>
    <w:rsid w:val="005A3653"/>
    <w:rsid w:val="005D520A"/>
    <w:rsid w:val="006C5729"/>
    <w:rsid w:val="006D3121"/>
    <w:rsid w:val="006F451E"/>
    <w:rsid w:val="007346BD"/>
    <w:rsid w:val="00761810"/>
    <w:rsid w:val="007629C3"/>
    <w:rsid w:val="007C038C"/>
    <w:rsid w:val="00857B8C"/>
    <w:rsid w:val="008B2D14"/>
    <w:rsid w:val="008D3875"/>
    <w:rsid w:val="009331BF"/>
    <w:rsid w:val="00951FB1"/>
    <w:rsid w:val="009E592F"/>
    <w:rsid w:val="00A056F0"/>
    <w:rsid w:val="00A3414D"/>
    <w:rsid w:val="00A51151"/>
    <w:rsid w:val="00B652B2"/>
    <w:rsid w:val="00CF4417"/>
    <w:rsid w:val="00D519FE"/>
    <w:rsid w:val="00D80119"/>
    <w:rsid w:val="00DB6B2C"/>
    <w:rsid w:val="00E2386C"/>
    <w:rsid w:val="00E54792"/>
    <w:rsid w:val="00E56F07"/>
    <w:rsid w:val="00E75AD9"/>
    <w:rsid w:val="00EF00D1"/>
    <w:rsid w:val="00FA05F2"/>
    <w:rsid w:val="00FE4741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5813"/>
  <w15:chartTrackingRefBased/>
  <w15:docId w15:val="{5AC9D583-5027-4EA9-8824-94BD171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23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23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03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2021-11-10T07:02:00Z</dcterms:created>
  <dcterms:modified xsi:type="dcterms:W3CDTF">2021-11-18T09:14:00Z</dcterms:modified>
</cp:coreProperties>
</file>