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1F" w:rsidRDefault="0065261F" w:rsidP="0065261F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СОГЛАСОВАНО:</w:t>
      </w:r>
    </w:p>
    <w:p w:rsidR="0065261F" w:rsidRDefault="0065261F" w:rsidP="0065261F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Глава администрации </w:t>
      </w:r>
    </w:p>
    <w:p w:rsidR="0065261F" w:rsidRDefault="0065261F" w:rsidP="0065261F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городское поселение</w:t>
      </w:r>
    </w:p>
    <w:p w:rsidR="0065261F" w:rsidRDefault="0065261F" w:rsidP="0065261F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Н.Н.Становова</w:t>
      </w:r>
      <w:proofErr w:type="spellEnd"/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</w:t>
      </w:r>
    </w:p>
    <w:p w:rsidR="0065261F" w:rsidRDefault="0065261F" w:rsidP="0065261F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</w:p>
    <w:p w:rsidR="0065261F" w:rsidRDefault="0065261F" w:rsidP="0065261F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</w:p>
    <w:p w:rsidR="0065261F" w:rsidRDefault="0065261F" w:rsidP="0065261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ОТЧЕТ (ДОКЛАД)</w:t>
      </w:r>
    </w:p>
    <w:p w:rsidR="0065261F" w:rsidRDefault="0065261F" w:rsidP="0065261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«Об итогах социально-экономического развития муниципального образования </w:t>
      </w:r>
    </w:p>
    <w:p w:rsidR="0065261F" w:rsidRPr="0065261F" w:rsidRDefault="0065261F" w:rsidP="0065261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городское поселение за 2020 год»</w:t>
      </w:r>
    </w:p>
    <w:p w:rsidR="0065261F" w:rsidRDefault="0065261F" w:rsidP="0065261F">
      <w:pPr>
        <w:spacing w:after="375" w:line="240" w:lineRule="auto"/>
        <w:jc w:val="both"/>
        <w:outlineLvl w:val="0"/>
        <w:rPr>
          <w:rFonts w:ascii="Helvetica" w:eastAsia="Times New Roman" w:hAnsi="Helvetica" w:cs="Helvetica"/>
          <w:color w:val="183741"/>
          <w:kern w:val="36"/>
          <w:sz w:val="28"/>
          <w:szCs w:val="28"/>
          <w:lang w:eastAsia="ru-RU"/>
        </w:rPr>
      </w:pPr>
    </w:p>
    <w:p w:rsidR="00C6201F" w:rsidRPr="00772AD0" w:rsidRDefault="0065261F" w:rsidP="00352938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65261F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       </w:t>
      </w:r>
      <w:r w:rsidR="00C6201F"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Современный этап развития общества характеризуется резким возрастанием роли и значения информации в управлении социально экономическими процессами. Наличие полной своевременной и достоверной информации о процессах, происходящих в различных отраслях и сферах жизнедеятельности города, является необходимым условием организации эффективного управления его развитием. В </w:t>
      </w:r>
      <w:r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то же время перед муниципальным</w:t>
      </w:r>
      <w:r w:rsidR="00C6201F"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</w:t>
      </w:r>
      <w:r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образованием</w:t>
      </w:r>
      <w:r w:rsidR="00C6201F"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стоят проблемы:</w:t>
      </w:r>
    </w:p>
    <w:p w:rsidR="00C6201F" w:rsidRPr="00772AD0" w:rsidRDefault="00C6201F" w:rsidP="00352938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- эффективной организации сбора информации ввиду огромного количества показателей, характеризующих социально-экономическое положение муниципального образования;</w:t>
      </w:r>
    </w:p>
    <w:p w:rsidR="00C6201F" w:rsidRPr="00772AD0" w:rsidRDefault="00C6201F" w:rsidP="00352938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- объективной оценки происходящих в </w:t>
      </w:r>
      <w:r w:rsidR="0065261F"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поселении</w:t>
      </w:r>
      <w:r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изменений;</w:t>
      </w:r>
    </w:p>
    <w:p w:rsidR="00C6201F" w:rsidRPr="00772AD0" w:rsidRDefault="00C6201F" w:rsidP="00352938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- прогнозирования развития социально-экономических процессов;</w:t>
      </w:r>
    </w:p>
    <w:p w:rsidR="00C6201F" w:rsidRPr="00772AD0" w:rsidRDefault="00C6201F" w:rsidP="00352938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- своевременной разработки регулирующих воздействий, направленных на поддержку позитивных и ослабление негативных тенденций.</w:t>
      </w:r>
    </w:p>
    <w:p w:rsidR="00352938" w:rsidRPr="00772AD0" w:rsidRDefault="0065261F" w:rsidP="0035293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72AD0">
        <w:rPr>
          <w:rFonts w:ascii="Times New Roman" w:hAnsi="Times New Roman" w:cs="Times New Roman"/>
          <w:b w:val="0"/>
          <w:color w:val="183741"/>
          <w:kern w:val="36"/>
          <w:sz w:val="24"/>
          <w:szCs w:val="24"/>
        </w:rPr>
        <w:t xml:space="preserve"> </w:t>
      </w:r>
      <w:r w:rsidR="00C6201F" w:rsidRPr="00772AD0">
        <w:rPr>
          <w:rFonts w:ascii="Times New Roman" w:hAnsi="Times New Roman" w:cs="Times New Roman"/>
          <w:b w:val="0"/>
          <w:color w:val="183741"/>
          <w:kern w:val="36"/>
          <w:sz w:val="24"/>
          <w:szCs w:val="24"/>
        </w:rPr>
        <w:t xml:space="preserve">Решение этих проблем </w:t>
      </w:r>
      <w:r w:rsidRPr="00772AD0">
        <w:rPr>
          <w:rFonts w:ascii="Times New Roman" w:hAnsi="Times New Roman" w:cs="Times New Roman"/>
          <w:b w:val="0"/>
          <w:color w:val="183741"/>
          <w:kern w:val="36"/>
          <w:sz w:val="24"/>
          <w:szCs w:val="24"/>
        </w:rPr>
        <w:t>обеспечивает система</w:t>
      </w:r>
      <w:r w:rsidR="00C6201F" w:rsidRPr="00772AD0">
        <w:rPr>
          <w:rFonts w:ascii="Times New Roman" w:hAnsi="Times New Roman" w:cs="Times New Roman"/>
          <w:b w:val="0"/>
          <w:color w:val="183741"/>
          <w:kern w:val="36"/>
          <w:sz w:val="24"/>
          <w:szCs w:val="24"/>
        </w:rPr>
        <w:t xml:space="preserve"> мониторинга социально-экономического развития</w:t>
      </w:r>
      <w:r w:rsidR="00352938" w:rsidRPr="00772AD0">
        <w:rPr>
          <w:rFonts w:ascii="Times New Roman" w:hAnsi="Times New Roman" w:cs="Times New Roman"/>
          <w:b w:val="0"/>
          <w:color w:val="183741"/>
          <w:kern w:val="36"/>
          <w:sz w:val="24"/>
          <w:szCs w:val="24"/>
        </w:rPr>
        <w:t xml:space="preserve"> поселения.</w:t>
      </w:r>
      <w:r w:rsidR="00352938" w:rsidRPr="00772AD0">
        <w:rPr>
          <w:rFonts w:ascii="Times New Roman" w:hAnsi="Times New Roman" w:cs="Times New Roman"/>
          <w:b w:val="0"/>
          <w:sz w:val="24"/>
          <w:szCs w:val="24"/>
        </w:rPr>
        <w:t xml:space="preserve"> Мониторинг реализации среднесрочного прогноза осуществляется администрацией муниципального образования </w:t>
      </w:r>
      <w:proofErr w:type="spellStart"/>
      <w:r w:rsidR="00352938" w:rsidRPr="00772AD0">
        <w:rPr>
          <w:rFonts w:ascii="Times New Roman" w:hAnsi="Times New Roman" w:cs="Times New Roman"/>
          <w:b w:val="0"/>
          <w:sz w:val="24"/>
          <w:szCs w:val="24"/>
        </w:rPr>
        <w:t>Кузнечнинское</w:t>
      </w:r>
      <w:proofErr w:type="spellEnd"/>
      <w:r w:rsidR="00352938" w:rsidRPr="00772AD0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в целях выявления отклонений фактических значений показателей от показателей, утвержденных в среднесрочном прогнозе.</w:t>
      </w:r>
    </w:p>
    <w:p w:rsidR="00352938" w:rsidRPr="00772AD0" w:rsidRDefault="00352938" w:rsidP="003529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AD0">
        <w:rPr>
          <w:rFonts w:ascii="Times New Roman" w:hAnsi="Times New Roman" w:cs="Times New Roman"/>
          <w:sz w:val="24"/>
          <w:szCs w:val="24"/>
        </w:rPr>
        <w:t xml:space="preserve">Мониторинг реализации среднесрочного прогноза осуществляется на основе данных официального статистического наблюдения, а также иной информации, представляемой структурными подразделениями  администрации муниципального образования </w:t>
      </w:r>
      <w:proofErr w:type="spellStart"/>
      <w:r w:rsidRPr="00772AD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772AD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соответствии с их полномочиями, путем обобщения информации о социально-экономическом развитии муниципального образования и оценки достижения показателей социально-экономического развития муниципального образования в отчетном году. </w:t>
      </w:r>
    </w:p>
    <w:p w:rsidR="00C6201F" w:rsidRPr="00772AD0" w:rsidRDefault="00352938" w:rsidP="0065261F">
      <w:pPr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Также, о</w:t>
      </w:r>
      <w:r w:rsidR="00C6201F"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дним из основных правил </w:t>
      </w:r>
      <w:r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прогноза социально-экономического развития,</w:t>
      </w:r>
      <w:r w:rsidR="00C6201F"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является оценка. Оценка </w:t>
      </w:r>
      <w:r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непрерывно сопровождает</w:t>
      </w:r>
      <w:r w:rsidR="00C6201F"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реализацию планов и проектов</w:t>
      </w:r>
      <w:r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,</w:t>
      </w:r>
      <w:r w:rsidR="00C6201F"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</w:t>
      </w:r>
      <w:r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делая</w:t>
      </w:r>
      <w:r w:rsidR="00C6201F" w:rsidRPr="00772AD0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возможным их текущую корректировку.</w:t>
      </w:r>
    </w:p>
    <w:tbl>
      <w:tblPr>
        <w:tblW w:w="1086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61"/>
        <w:gridCol w:w="2966"/>
        <w:gridCol w:w="1659"/>
        <w:gridCol w:w="1454"/>
        <w:gridCol w:w="1577"/>
        <w:gridCol w:w="1071"/>
        <w:gridCol w:w="1040"/>
        <w:gridCol w:w="236"/>
      </w:tblGrid>
      <w:tr w:rsidR="008A5DC0" w:rsidRPr="006259CC" w:rsidTr="00772AD0">
        <w:trPr>
          <w:gridAfter w:val="1"/>
          <w:wAfter w:w="232" w:type="dxa"/>
          <w:trHeight w:val="8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выполнения основных прогнозных макроэкономических показателей по итогам 2020 года</w:t>
            </w:r>
          </w:p>
        </w:tc>
      </w:tr>
      <w:tr w:rsidR="008A5DC0" w:rsidRPr="006259CC" w:rsidTr="00772AD0">
        <w:trPr>
          <w:trHeight w:val="63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факт/прогноз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прогноз-факт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C0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6259CC" w:rsidRPr="006259CC" w:rsidTr="00772AD0">
        <w:trPr>
          <w:gridAfter w:val="1"/>
          <w:wAfter w:w="232" w:type="dxa"/>
          <w:trHeight w:val="126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 от утв. Прогноза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  от утв. Прогноза (+;-)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93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</w:t>
            </w:r>
            <w:r w:rsidR="0093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936045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936045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городское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936045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936045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936045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сельское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2 578,0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93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</w:t>
            </w:r>
            <w:r w:rsidR="0093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Миграционный прирост (-убыль)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93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</w:t>
            </w:r>
            <w:r w:rsidR="0093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-4,9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-5,4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-10,2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76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6081,2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D71965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-117,6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94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Добыча </w:t>
            </w: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полезных ископаемых</w:t>
            </w: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(раздел 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D71965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-94,0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112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Обрабатывающие производства" (Раздел 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D71965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-33,6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59CC" w:rsidRPr="006259CC" w:rsidTr="00772AD0">
        <w:trPr>
          <w:gridAfter w:val="1"/>
          <w:wAfter w:w="232" w:type="dxa"/>
          <w:trHeight w:val="9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59CC" w:rsidRPr="006259CC" w:rsidTr="00772AD0">
        <w:trPr>
          <w:gridAfter w:val="1"/>
          <w:wAfter w:w="232" w:type="dxa"/>
          <w:trHeight w:val="12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автомобильных дорог</w:t>
            </w:r>
            <w:r w:rsidRPr="006259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7384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7384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7384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7384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C97384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7384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84" w:rsidRPr="006259CC" w:rsidRDefault="00C97384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163F6B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163F6B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163F6B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12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163F6B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46E9F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59CC" w:rsidRPr="006259CC" w:rsidTr="00846E9F">
        <w:trPr>
          <w:gridAfter w:val="1"/>
          <w:wAfter w:w="232" w:type="dxa"/>
          <w:trHeight w:val="6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В: добыча полезных ископаемых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предприятий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46E9F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46E9F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46E9F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-3,6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(налоговые и неналоговые)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46E9F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4A7A8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4A7A8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-6,3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4A7A8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4A7A8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4A7A8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4A7A8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том числе муниципальные программы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9D7ED8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9D7ED8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D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9D7ED8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D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D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-6,9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1 456,0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9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зарегистрированной </w:t>
            </w: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безработицы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9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1 456,0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5DC0" w:rsidRPr="006259CC" w:rsidTr="00772AD0">
        <w:trPr>
          <w:gridAfter w:val="1"/>
          <w:wAfter w:w="232" w:type="dxa"/>
          <w:trHeight w:val="48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DC0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C0" w:rsidRPr="006259CC" w:rsidRDefault="008A5DC0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C0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C0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36 812,2</w:t>
            </w:r>
          </w:p>
          <w:p w:rsidR="008A5DC0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C0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  <w:p w:rsidR="008A5DC0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C0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36 682,0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C0" w:rsidRPr="006259CC" w:rsidRDefault="008A5DC0" w:rsidP="008A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8A5DC0" w:rsidRPr="006259CC" w:rsidTr="00772AD0">
        <w:trPr>
          <w:gridAfter w:val="1"/>
          <w:wAfter w:w="232" w:type="dxa"/>
          <w:trHeight w:val="57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C0" w:rsidRPr="006259CC" w:rsidRDefault="008A5DC0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C0" w:rsidRPr="006259CC" w:rsidRDefault="008A5DC0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C0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C0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C0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C0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C0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59CC" w:rsidRPr="006259CC" w:rsidTr="00772AD0">
        <w:trPr>
          <w:gridAfter w:val="1"/>
          <w:wAfter w:w="232" w:type="dxa"/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6259CC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C" w:rsidRPr="006259CC" w:rsidRDefault="008A5DC0" w:rsidP="0062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6259CC" w:rsidRPr="006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00C13" w:rsidRDefault="00F00C13" w:rsidP="00772AD0">
      <w:pPr>
        <w:pStyle w:val="a4"/>
        <w:spacing w:before="89"/>
        <w:ind w:left="232" w:right="753" w:firstLine="708"/>
      </w:pPr>
    </w:p>
    <w:p w:rsidR="00772AD0" w:rsidRPr="00E2461D" w:rsidRDefault="00772AD0" w:rsidP="004019A2">
      <w:pPr>
        <w:pStyle w:val="a4"/>
        <w:tabs>
          <w:tab w:val="left" w:pos="9781"/>
        </w:tabs>
        <w:spacing w:before="120" w:beforeAutospacing="0" w:after="120" w:afterAutospacing="0"/>
        <w:ind w:left="232" w:right="-2" w:firstLine="708"/>
        <w:jc w:val="both"/>
      </w:pPr>
      <w:r w:rsidRPr="00E2461D">
        <w:t>Среднемесячная заработная плата одного работающего в 20</w:t>
      </w:r>
      <w:r w:rsidR="009D7ED8" w:rsidRPr="00E2461D">
        <w:t>20</w:t>
      </w:r>
      <w:r w:rsidRPr="00E2461D">
        <w:t xml:space="preserve"> году сложилась в ра</w:t>
      </w:r>
      <w:r w:rsidR="00F00C13" w:rsidRPr="00E2461D">
        <w:t xml:space="preserve">змере </w:t>
      </w:r>
      <w:r w:rsidR="009D7ED8" w:rsidRPr="00E2461D">
        <w:t>36812,2</w:t>
      </w:r>
      <w:r w:rsidR="00F00C13" w:rsidRPr="00E2461D">
        <w:t xml:space="preserve"> руб., что в дей</w:t>
      </w:r>
      <w:r w:rsidRPr="00E2461D">
        <w:t xml:space="preserve">ствующих ценах на </w:t>
      </w:r>
      <w:r w:rsidR="00432E34">
        <w:t>104,6</w:t>
      </w:r>
      <w:r w:rsidRPr="00E2461D">
        <w:t>% выше, чем за соответствующий период 201</w:t>
      </w:r>
      <w:r w:rsidR="009D7ED8" w:rsidRPr="00E2461D">
        <w:t>9</w:t>
      </w:r>
      <w:r w:rsidRPr="00E2461D">
        <w:t xml:space="preserve"> года. </w:t>
      </w:r>
    </w:p>
    <w:p w:rsidR="00772AD0" w:rsidRPr="00E2461D" w:rsidRDefault="00772AD0" w:rsidP="00432E34">
      <w:pPr>
        <w:pStyle w:val="a4"/>
        <w:tabs>
          <w:tab w:val="left" w:pos="9639"/>
          <w:tab w:val="left" w:pos="9781"/>
          <w:tab w:val="left" w:pos="9923"/>
        </w:tabs>
        <w:spacing w:before="120" w:beforeAutospacing="0" w:after="120" w:afterAutospacing="0"/>
        <w:ind w:left="232" w:right="705" w:firstLine="708"/>
        <w:jc w:val="both"/>
      </w:pPr>
      <w:r w:rsidRPr="00E2461D">
        <w:t xml:space="preserve">Фонд оплаты труда по полному кругу предприятий и организаций района </w:t>
      </w:r>
      <w:proofErr w:type="gramStart"/>
      <w:r w:rsidRPr="00E2461D">
        <w:t xml:space="preserve">составил </w:t>
      </w:r>
      <w:r w:rsidR="00432E34">
        <w:t xml:space="preserve"> </w:t>
      </w:r>
      <w:r w:rsidR="009D7ED8" w:rsidRPr="00E2461D">
        <w:t>643</w:t>
      </w:r>
      <w:proofErr w:type="gramEnd"/>
      <w:r w:rsidR="009D7ED8" w:rsidRPr="00E2461D">
        <w:t>,2</w:t>
      </w:r>
      <w:r w:rsidRPr="00E2461D">
        <w:t xml:space="preserve"> млн. руб., что составляет </w:t>
      </w:r>
      <w:r w:rsidR="009D7ED8" w:rsidRPr="00E2461D">
        <w:t>100,7</w:t>
      </w:r>
      <w:r w:rsidRPr="00E2461D">
        <w:t>% от прогнозного значения. Рост фонда оплаты труда к соответствующему периоду прошлого года в действующих ценах составил 102,2%.</w:t>
      </w:r>
    </w:p>
    <w:p w:rsidR="00772AD0" w:rsidRPr="00E2461D" w:rsidRDefault="00772AD0" w:rsidP="004019A2">
      <w:pPr>
        <w:pStyle w:val="a4"/>
        <w:tabs>
          <w:tab w:val="left" w:pos="9923"/>
        </w:tabs>
        <w:spacing w:before="120" w:beforeAutospacing="0" w:after="120" w:afterAutospacing="0"/>
        <w:ind w:left="232" w:right="-2" w:firstLine="708"/>
        <w:jc w:val="both"/>
      </w:pPr>
      <w:r w:rsidRPr="00E2461D">
        <w:t>Уровень жизни во многом характеризуется не только размером доходов, но и рег</w:t>
      </w:r>
      <w:r w:rsidR="00E2461D" w:rsidRPr="00E2461D">
        <w:t>улярностью их получения. По со</w:t>
      </w:r>
      <w:r w:rsidRPr="00E2461D">
        <w:t xml:space="preserve">стоянию на </w:t>
      </w:r>
      <w:r w:rsidR="00E2461D" w:rsidRPr="00E2461D">
        <w:t>0</w:t>
      </w:r>
      <w:r w:rsidRPr="00E2461D">
        <w:t>1.01.20</w:t>
      </w:r>
      <w:r w:rsidR="00E2461D" w:rsidRPr="00E2461D">
        <w:t>21</w:t>
      </w:r>
      <w:r w:rsidRPr="00E2461D">
        <w:t xml:space="preserve"> года задолженности по выплате заработной платы по </w:t>
      </w:r>
      <w:r w:rsidR="00E2461D" w:rsidRPr="00E2461D">
        <w:t>муниципальному образованию</w:t>
      </w:r>
      <w:r w:rsidRPr="00E2461D">
        <w:t xml:space="preserve"> нет.</w:t>
      </w:r>
    </w:p>
    <w:p w:rsidR="00772AD0" w:rsidRPr="005B7A5D" w:rsidRDefault="00772AD0" w:rsidP="002E64F1">
      <w:pPr>
        <w:pStyle w:val="a4"/>
        <w:spacing w:before="120" w:beforeAutospacing="0" w:after="120" w:afterAutospacing="0"/>
        <w:ind w:left="232" w:right="-2" w:firstLine="707"/>
        <w:jc w:val="both"/>
      </w:pPr>
      <w:r w:rsidRPr="005B7A5D">
        <w:t>Численность официально зарегистрированных безработных на 1 января 20</w:t>
      </w:r>
      <w:r w:rsidR="00432E34" w:rsidRPr="005B7A5D">
        <w:t>21</w:t>
      </w:r>
      <w:r w:rsidRPr="005B7A5D">
        <w:t xml:space="preserve"> год</w:t>
      </w:r>
      <w:r w:rsidR="00432E34" w:rsidRPr="005B7A5D">
        <w:t xml:space="preserve">а составила </w:t>
      </w:r>
      <w:r w:rsidR="00AC7A68" w:rsidRPr="005B7A5D">
        <w:t>45</w:t>
      </w:r>
      <w:r w:rsidR="00432E34" w:rsidRPr="005B7A5D">
        <w:t xml:space="preserve"> человек и увели</w:t>
      </w:r>
      <w:r w:rsidRPr="005B7A5D">
        <w:t xml:space="preserve">чилась к соответствующему периоду прошлого года на </w:t>
      </w:r>
      <w:r w:rsidR="00AC7A68" w:rsidRPr="005B7A5D">
        <w:t>40</w:t>
      </w:r>
      <w:r w:rsidRPr="005B7A5D">
        <w:t xml:space="preserve"> </w:t>
      </w:r>
      <w:proofErr w:type="gramStart"/>
      <w:r w:rsidRPr="005B7A5D">
        <w:t>человек .</w:t>
      </w:r>
      <w:proofErr w:type="gramEnd"/>
    </w:p>
    <w:p w:rsidR="00772AD0" w:rsidRPr="00F265A2" w:rsidRDefault="00772AD0" w:rsidP="005B7A5D">
      <w:pPr>
        <w:pStyle w:val="a4"/>
        <w:spacing w:before="120" w:beforeAutospacing="0" w:after="120" w:afterAutospacing="0"/>
        <w:ind w:left="284" w:firstLine="656"/>
        <w:jc w:val="both"/>
      </w:pPr>
      <w:r w:rsidRPr="00F265A2">
        <w:t xml:space="preserve">Уровень регистрируемой безработицы в </w:t>
      </w:r>
      <w:r w:rsidR="005B7A5D" w:rsidRPr="00F265A2">
        <w:t>поселении</w:t>
      </w:r>
      <w:r w:rsidRPr="00F265A2">
        <w:t xml:space="preserve"> </w:t>
      </w:r>
      <w:r w:rsidR="005B7A5D" w:rsidRPr="00F265A2">
        <w:t>ниже</w:t>
      </w:r>
      <w:r w:rsidRPr="00F265A2">
        <w:t xml:space="preserve"> значения</w:t>
      </w:r>
      <w:r w:rsidR="005B7A5D" w:rsidRPr="00F265A2">
        <w:t xml:space="preserve"> по району</w:t>
      </w:r>
      <w:r w:rsidRPr="00F265A2">
        <w:t xml:space="preserve"> на 0,</w:t>
      </w:r>
      <w:r w:rsidR="005B7A5D" w:rsidRPr="00F265A2">
        <w:t>3</w:t>
      </w:r>
      <w:r w:rsidRPr="00F265A2">
        <w:t xml:space="preserve">7 % и составляет </w:t>
      </w:r>
      <w:r w:rsidR="005B7A5D" w:rsidRPr="00F265A2">
        <w:t>1,95</w:t>
      </w:r>
      <w:r w:rsidRPr="00F265A2">
        <w:t>%. За</w:t>
      </w:r>
      <w:r w:rsidR="005B7A5D" w:rsidRPr="00F265A2">
        <w:t xml:space="preserve"> </w:t>
      </w:r>
      <w:r w:rsidRPr="00F265A2">
        <w:t>20</w:t>
      </w:r>
      <w:r w:rsidR="005B7A5D" w:rsidRPr="00F265A2">
        <w:t>20</w:t>
      </w:r>
      <w:r w:rsidRPr="00F265A2">
        <w:t xml:space="preserve"> год обратилось в службу занятости -</w:t>
      </w:r>
      <w:r w:rsidR="005B7A5D" w:rsidRPr="00F265A2">
        <w:t>122</w:t>
      </w:r>
      <w:r w:rsidRPr="00F265A2">
        <w:t xml:space="preserve"> чел. Трудоустроено -</w:t>
      </w:r>
      <w:r w:rsidR="005B7A5D" w:rsidRPr="00F265A2">
        <w:t>53чел.</w:t>
      </w:r>
    </w:p>
    <w:p w:rsidR="00772AD0" w:rsidRPr="00C32A21" w:rsidRDefault="00772AD0" w:rsidP="002E64F1">
      <w:pPr>
        <w:pStyle w:val="a4"/>
        <w:tabs>
          <w:tab w:val="left" w:pos="7137"/>
        </w:tabs>
        <w:spacing w:before="120" w:beforeAutospacing="0" w:after="120" w:afterAutospacing="0"/>
        <w:ind w:left="232" w:right="-2" w:firstLine="777"/>
        <w:jc w:val="both"/>
      </w:pPr>
      <w:r w:rsidRPr="00C32A21">
        <w:t xml:space="preserve">По </w:t>
      </w:r>
      <w:proofErr w:type="gramStart"/>
      <w:r w:rsidRPr="00C32A21">
        <w:t>итогам  20</w:t>
      </w:r>
      <w:r w:rsidR="009D0B45" w:rsidRPr="00C32A21">
        <w:t>20</w:t>
      </w:r>
      <w:proofErr w:type="gramEnd"/>
      <w:r w:rsidRPr="00C32A21">
        <w:t xml:space="preserve"> года</w:t>
      </w:r>
      <w:r w:rsidR="00C32A21">
        <w:t>,</w:t>
      </w:r>
      <w:r w:rsidRPr="00C32A21">
        <w:t xml:space="preserve"> оборот</w:t>
      </w:r>
      <w:r w:rsidRPr="00C32A21">
        <w:rPr>
          <w:spacing w:val="-13"/>
        </w:rPr>
        <w:t xml:space="preserve"> </w:t>
      </w:r>
      <w:r w:rsidRPr="00C32A21">
        <w:t>розничной</w:t>
      </w:r>
      <w:r w:rsidRPr="00C32A21">
        <w:rPr>
          <w:spacing w:val="-2"/>
        </w:rPr>
        <w:t xml:space="preserve"> </w:t>
      </w:r>
      <w:r w:rsidR="00F265A2" w:rsidRPr="00C32A21">
        <w:t xml:space="preserve">торговли </w:t>
      </w:r>
      <w:r w:rsidRPr="00C32A21">
        <w:t xml:space="preserve">ниже на </w:t>
      </w:r>
      <w:r w:rsidR="009D0B45" w:rsidRPr="00C32A21">
        <w:t>101,1</w:t>
      </w:r>
      <w:r w:rsidRPr="00C32A21">
        <w:t xml:space="preserve"> % в </w:t>
      </w:r>
      <w:r w:rsidR="009D0B45" w:rsidRPr="00C32A21">
        <w:t>действующих</w:t>
      </w:r>
      <w:r w:rsidRPr="00C32A21">
        <w:t xml:space="preserve"> ценах, а объем платных услуг населению на </w:t>
      </w:r>
      <w:r w:rsidR="009D0B45" w:rsidRPr="00C32A21">
        <w:t>100,6</w:t>
      </w:r>
      <w:r w:rsidRPr="00C32A21">
        <w:t xml:space="preserve">%. При этом фактические объемы в действующих ценах по данным показателям составили </w:t>
      </w:r>
      <w:r w:rsidR="009D0B45" w:rsidRPr="00C32A21">
        <w:t>140,3</w:t>
      </w:r>
      <w:r w:rsidRPr="00C32A21">
        <w:t xml:space="preserve"> млн. руб. и </w:t>
      </w:r>
      <w:r w:rsidR="009D0B45" w:rsidRPr="00C32A21">
        <w:t>66,1</w:t>
      </w:r>
      <w:r w:rsidRPr="00C32A21">
        <w:t xml:space="preserve"> млн. руб. соответственно, что составляет 1</w:t>
      </w:r>
      <w:r w:rsidR="009D0B45" w:rsidRPr="00C32A21">
        <w:t>01</w:t>
      </w:r>
      <w:r w:rsidRPr="00C32A21">
        <w:t>,</w:t>
      </w:r>
      <w:r w:rsidR="009D0B45" w:rsidRPr="00C32A21">
        <w:t>0</w:t>
      </w:r>
      <w:r w:rsidRPr="00C32A21">
        <w:t>% и 101,</w:t>
      </w:r>
      <w:r w:rsidR="009D0B45" w:rsidRPr="00C32A21">
        <w:t>2</w:t>
      </w:r>
      <w:r w:rsidRPr="00C32A21">
        <w:t>% от предусмотренного прогнозом на 20</w:t>
      </w:r>
      <w:r w:rsidR="009D0B45" w:rsidRPr="00C32A21">
        <w:t>20</w:t>
      </w:r>
      <w:r w:rsidRPr="00C32A21">
        <w:rPr>
          <w:spacing w:val="-34"/>
        </w:rPr>
        <w:t xml:space="preserve"> </w:t>
      </w:r>
      <w:r w:rsidRPr="00C32A21">
        <w:t>год.</w:t>
      </w:r>
    </w:p>
    <w:p w:rsidR="00772AD0" w:rsidRPr="00622DCF" w:rsidRDefault="00772AD0" w:rsidP="002E64F1">
      <w:pPr>
        <w:pStyle w:val="a4"/>
        <w:spacing w:before="120" w:beforeAutospacing="0" w:after="120" w:afterAutospacing="0"/>
        <w:ind w:left="232" w:right="-2" w:firstLine="708"/>
        <w:jc w:val="both"/>
      </w:pPr>
      <w:r w:rsidRPr="00622DCF">
        <w:t xml:space="preserve">В структуре ВВП по видам экономической деятельности существенных изменений не наблюдается. Наибольшая величина добавленной стоимости приходится на </w:t>
      </w:r>
      <w:r w:rsidR="00492430" w:rsidRPr="00622DCF">
        <w:t>долю обрабатывающих производств, и добыче полезных ископаемых.</w:t>
      </w:r>
    </w:p>
    <w:p w:rsidR="00772AD0" w:rsidRPr="00622DCF" w:rsidRDefault="00C32A21" w:rsidP="002E64F1">
      <w:pPr>
        <w:pStyle w:val="a4"/>
        <w:spacing w:before="120" w:beforeAutospacing="0" w:after="120" w:afterAutospacing="0"/>
        <w:jc w:val="both"/>
        <w:rPr>
          <w:color w:val="000000" w:themeColor="text1"/>
        </w:rPr>
      </w:pPr>
      <w:r w:rsidRPr="00622DCF">
        <w:t xml:space="preserve">        </w:t>
      </w:r>
      <w:r w:rsidR="00772AD0" w:rsidRPr="00622DCF">
        <w:t>Прирост ВВП обеспечивается, в основном, за счет соответствующей динамики обрабатывающих производств</w:t>
      </w:r>
      <w:r w:rsidR="00492430" w:rsidRPr="00622DCF">
        <w:rPr>
          <w:color w:val="FF0000"/>
        </w:rPr>
        <w:t xml:space="preserve"> </w:t>
      </w:r>
      <w:r w:rsidR="00492430" w:rsidRPr="00622DCF">
        <w:rPr>
          <w:color w:val="000000" w:themeColor="text1"/>
        </w:rPr>
        <w:t>и добыче полезных ископаемых.</w:t>
      </w:r>
    </w:p>
    <w:p w:rsidR="00772AD0" w:rsidRPr="00622DCF" w:rsidRDefault="00772AD0" w:rsidP="002E64F1">
      <w:pPr>
        <w:pStyle w:val="a4"/>
        <w:spacing w:before="120" w:beforeAutospacing="0" w:after="120" w:afterAutospacing="0"/>
        <w:ind w:firstLine="940"/>
        <w:jc w:val="both"/>
      </w:pPr>
      <w:r w:rsidRPr="00622DCF">
        <w:t xml:space="preserve">С начала года объем реализованной продукции по полному кругу предприятий составил </w:t>
      </w:r>
      <w:r w:rsidR="00622DCF" w:rsidRPr="00622DCF">
        <w:t>6081,0</w:t>
      </w:r>
      <w:r w:rsidRPr="00622DCF">
        <w:t xml:space="preserve"> млн. руб. (10</w:t>
      </w:r>
      <w:r w:rsidR="00622DCF" w:rsidRPr="00622DCF">
        <w:t>2</w:t>
      </w:r>
      <w:r w:rsidRPr="00622DCF">
        <w:t>,</w:t>
      </w:r>
      <w:r w:rsidR="00622DCF" w:rsidRPr="00622DCF">
        <w:t>0</w:t>
      </w:r>
      <w:r w:rsidRPr="00622DCF">
        <w:t>%</w:t>
      </w:r>
      <w:r w:rsidR="00F00C13" w:rsidRPr="00622DCF">
        <w:t xml:space="preserve"> </w:t>
      </w:r>
      <w:r w:rsidRPr="00622DCF">
        <w:t xml:space="preserve">от прогнозного значения), в том числе по </w:t>
      </w:r>
      <w:r w:rsidR="00622DCF" w:rsidRPr="00622DCF">
        <w:t xml:space="preserve">добыче полезных </w:t>
      </w:r>
      <w:proofErr w:type="gramStart"/>
      <w:r w:rsidR="00622DCF" w:rsidRPr="00622DCF">
        <w:t xml:space="preserve">ископаемых </w:t>
      </w:r>
      <w:r w:rsidRPr="00622DCF">
        <w:t xml:space="preserve"> -</w:t>
      </w:r>
      <w:proofErr w:type="gramEnd"/>
      <w:r w:rsidR="00622DCF" w:rsidRPr="00622DCF">
        <w:t>5724,0</w:t>
      </w:r>
      <w:r w:rsidRPr="00622DCF">
        <w:t xml:space="preserve"> </w:t>
      </w:r>
      <w:proofErr w:type="spellStart"/>
      <w:r w:rsidRPr="00622DCF">
        <w:t>млн.руб</w:t>
      </w:r>
      <w:proofErr w:type="spellEnd"/>
      <w:r w:rsidRPr="00622DCF">
        <w:t>. (</w:t>
      </w:r>
      <w:r w:rsidR="00622DCF" w:rsidRPr="00622DCF">
        <w:t>101,7%), по обрабатывающим производствам 357,2 млн. руб. (110,4%).</w:t>
      </w:r>
    </w:p>
    <w:p w:rsidR="00772AD0" w:rsidRPr="00622DCF" w:rsidRDefault="00772AD0" w:rsidP="002E64F1">
      <w:pPr>
        <w:pStyle w:val="a4"/>
        <w:spacing w:before="120" w:beforeAutospacing="0" w:after="120" w:afterAutospacing="0"/>
        <w:ind w:left="232" w:right="-2" w:firstLine="708"/>
        <w:jc w:val="both"/>
      </w:pPr>
      <w:r w:rsidRPr="00622DCF">
        <w:t>Объем инвестиций в основной капитал по полному кругу предприятий за 20</w:t>
      </w:r>
      <w:r w:rsidR="00622DCF" w:rsidRPr="00622DCF">
        <w:t>20</w:t>
      </w:r>
      <w:r w:rsidRPr="00622DCF">
        <w:t xml:space="preserve"> год составил 1</w:t>
      </w:r>
      <w:r w:rsidR="00622DCF" w:rsidRPr="00622DCF">
        <w:t>86</w:t>
      </w:r>
      <w:r w:rsidRPr="00622DCF">
        <w:t xml:space="preserve">,0 </w:t>
      </w:r>
      <w:proofErr w:type="spellStart"/>
      <w:r w:rsidRPr="00622DCF">
        <w:t>млн.руб</w:t>
      </w:r>
      <w:proofErr w:type="spellEnd"/>
      <w:r w:rsidRPr="00622DCF">
        <w:t xml:space="preserve">. Индекс физического объема инвестиций в основной капитал меньше предусмотренного прогнозом на </w:t>
      </w:r>
      <w:r w:rsidR="00622DCF" w:rsidRPr="00622DCF">
        <w:t>96,8</w:t>
      </w:r>
      <w:r w:rsidRPr="00622DCF">
        <w:t>%</w:t>
      </w:r>
      <w:r w:rsidR="00622DCF" w:rsidRPr="00622DCF">
        <w:t>.</w:t>
      </w:r>
    </w:p>
    <w:p w:rsidR="004047F6" w:rsidRPr="00BF5FD7" w:rsidRDefault="004047F6" w:rsidP="002E64F1">
      <w:pPr>
        <w:pStyle w:val="a4"/>
        <w:spacing w:before="120" w:beforeAutospacing="0" w:after="120" w:afterAutospacing="0"/>
        <w:ind w:right="-2" w:firstLine="940"/>
        <w:jc w:val="both"/>
      </w:pPr>
      <w:r w:rsidRPr="00BF5FD7">
        <w:lastRenderedPageBreak/>
        <w:t>За 20</w:t>
      </w:r>
      <w:r w:rsidR="00E345EF" w:rsidRPr="00BF5FD7">
        <w:t>20 год число родившихся составило 22</w:t>
      </w:r>
      <w:r w:rsidRPr="00BF5FD7">
        <w:t xml:space="preserve"> человек</w:t>
      </w:r>
      <w:r w:rsidR="00E345EF" w:rsidRPr="00BF5FD7">
        <w:t>а, а число умерших 84</w:t>
      </w:r>
      <w:r w:rsidRPr="00BF5FD7">
        <w:t xml:space="preserve"> человек</w:t>
      </w:r>
      <w:r w:rsidR="00E345EF" w:rsidRPr="00BF5FD7">
        <w:t>а</w:t>
      </w:r>
      <w:r w:rsidRPr="00BF5FD7">
        <w:t>. Коэффициент естественной убыли в расчете на 1000 населения составляет -</w:t>
      </w:r>
      <w:r w:rsidR="00E345EF" w:rsidRPr="00BF5FD7">
        <w:t>15,1</w:t>
      </w:r>
      <w:r w:rsidRPr="00BF5FD7">
        <w:t>.</w:t>
      </w:r>
    </w:p>
    <w:p w:rsidR="004047F6" w:rsidRPr="00BF5FD7" w:rsidRDefault="004047F6" w:rsidP="002E64F1">
      <w:pPr>
        <w:pStyle w:val="a4"/>
        <w:spacing w:before="120" w:beforeAutospacing="0" w:after="120" w:afterAutospacing="0"/>
        <w:ind w:left="232" w:right="-2" w:firstLine="708"/>
        <w:jc w:val="both"/>
      </w:pPr>
      <w:r w:rsidRPr="00BF5FD7">
        <w:t xml:space="preserve">Демографические тенденции реализуются в рамках Концепции демографического развития </w:t>
      </w:r>
      <w:r w:rsidR="00E345EF" w:rsidRPr="00BF5FD7">
        <w:t>Ленинградской обла</w:t>
      </w:r>
      <w:r w:rsidRPr="00BF5FD7">
        <w:t>сти на 20</w:t>
      </w:r>
      <w:r w:rsidR="00E345EF" w:rsidRPr="00BF5FD7">
        <w:t>20</w:t>
      </w:r>
      <w:r w:rsidRPr="00BF5FD7">
        <w:t>-2025 годы, в том числе мероприятий, направленных на рост рождаемости, снижение смертности, укрепление</w:t>
      </w:r>
      <w:r w:rsidR="002E64F1" w:rsidRPr="00BF5FD7">
        <w:t xml:space="preserve"> </w:t>
      </w:r>
      <w:r w:rsidRPr="00BF5FD7">
        <w:t>института семьи.</w:t>
      </w:r>
    </w:p>
    <w:p w:rsidR="004047F6" w:rsidRPr="00BF5FD7" w:rsidRDefault="002C6B91" w:rsidP="002E64F1">
      <w:pPr>
        <w:pStyle w:val="a4"/>
        <w:tabs>
          <w:tab w:val="left" w:pos="10042"/>
        </w:tabs>
        <w:spacing w:before="120" w:beforeAutospacing="0" w:after="120" w:afterAutospacing="0"/>
        <w:ind w:left="232" w:right="588" w:firstLine="696"/>
        <w:jc w:val="both"/>
      </w:pPr>
      <w:r w:rsidRPr="00BF5FD7">
        <w:t>С</w:t>
      </w:r>
      <w:r w:rsidR="004047F6" w:rsidRPr="00BF5FD7">
        <w:t xml:space="preserve">умма доходов бюджета </w:t>
      </w:r>
      <w:r w:rsidR="00E345EF" w:rsidRPr="00BF5FD7">
        <w:t>поселения</w:t>
      </w:r>
      <w:r w:rsidR="004047F6" w:rsidRPr="00BF5FD7">
        <w:t xml:space="preserve"> составила </w:t>
      </w:r>
      <w:r w:rsidRPr="00BF5FD7">
        <w:t>99,7</w:t>
      </w:r>
      <w:r w:rsidR="004047F6" w:rsidRPr="00BF5FD7">
        <w:t xml:space="preserve"> млн. рублей </w:t>
      </w:r>
      <w:r w:rsidRPr="00BF5FD7">
        <w:t>(</w:t>
      </w:r>
      <w:r w:rsidR="004047F6" w:rsidRPr="00BF5FD7">
        <w:t xml:space="preserve">или </w:t>
      </w:r>
      <w:r w:rsidRPr="00BF5FD7">
        <w:t>103,7</w:t>
      </w:r>
      <w:r w:rsidR="004047F6" w:rsidRPr="00BF5FD7">
        <w:t xml:space="preserve">% к </w:t>
      </w:r>
      <w:r w:rsidRPr="00BF5FD7">
        <w:t>прогнозному значению на 2020 год.</w:t>
      </w:r>
      <w:r w:rsidR="004047F6" w:rsidRPr="00BF5FD7">
        <w:t>) из них налоговых и неналоговых доходов-</w:t>
      </w:r>
      <w:r w:rsidR="00BF5FD7" w:rsidRPr="00BF5FD7">
        <w:t>53,1</w:t>
      </w:r>
      <w:r w:rsidR="004047F6" w:rsidRPr="00BF5FD7">
        <w:t xml:space="preserve"> </w:t>
      </w:r>
      <w:proofErr w:type="spellStart"/>
      <w:r w:rsidRPr="00BF5FD7">
        <w:t>млн.руб</w:t>
      </w:r>
      <w:proofErr w:type="spellEnd"/>
      <w:r w:rsidRPr="00BF5FD7">
        <w:t xml:space="preserve">. в </w:t>
      </w:r>
      <w:proofErr w:type="spellStart"/>
      <w:r w:rsidRPr="00BF5FD7">
        <w:t>т.ч</w:t>
      </w:r>
      <w:proofErr w:type="spellEnd"/>
      <w:r w:rsidRPr="00BF5FD7">
        <w:t>. налоговых дохо</w:t>
      </w:r>
      <w:r w:rsidR="004047F6" w:rsidRPr="00BF5FD7">
        <w:t>дов -</w:t>
      </w:r>
      <w:r w:rsidR="00BF5FD7" w:rsidRPr="00BF5FD7">
        <w:t>42,5</w:t>
      </w:r>
      <w:r w:rsidR="004047F6" w:rsidRPr="00BF5FD7">
        <w:t xml:space="preserve"> </w:t>
      </w:r>
      <w:proofErr w:type="spellStart"/>
      <w:r w:rsidR="004047F6" w:rsidRPr="00BF5FD7">
        <w:t>млн.руб</w:t>
      </w:r>
      <w:proofErr w:type="spellEnd"/>
      <w:r w:rsidR="004047F6" w:rsidRPr="00BF5FD7">
        <w:t>.</w:t>
      </w:r>
    </w:p>
    <w:p w:rsidR="004047F6" w:rsidRPr="00BF5FD7" w:rsidRDefault="004047F6" w:rsidP="002E64F1">
      <w:pPr>
        <w:pStyle w:val="a4"/>
        <w:spacing w:before="120" w:beforeAutospacing="0" w:after="120" w:afterAutospacing="0"/>
        <w:ind w:left="232" w:right="615" w:firstLine="696"/>
        <w:jc w:val="both"/>
      </w:pPr>
      <w:r w:rsidRPr="00BF5FD7">
        <w:t>В структуре налоговых поступлений налог на доходы физических лиц составляет-</w:t>
      </w:r>
      <w:r w:rsidR="00BF5FD7" w:rsidRPr="00BF5FD7">
        <w:t>22,9</w:t>
      </w:r>
      <w:r w:rsidRPr="00BF5FD7">
        <w:t xml:space="preserve">%, </w:t>
      </w:r>
      <w:r w:rsidR="00BF5FD7" w:rsidRPr="00BF5FD7">
        <w:t>налог на имущество – 54,9%.</w:t>
      </w:r>
    </w:p>
    <w:p w:rsidR="00554BE2" w:rsidRPr="00F30146" w:rsidRDefault="00554BE2" w:rsidP="00554BE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646464"/>
          <w:sz w:val="24"/>
          <w:szCs w:val="24"/>
          <w:lang w:eastAsia="ru-RU"/>
        </w:rPr>
      </w:pPr>
      <w:r w:rsidRPr="00F30146">
        <w:rPr>
          <w:rFonts w:ascii="Times New Roman" w:hAnsi="Times New Roman" w:cs="Times New Roman"/>
          <w:color w:val="646464"/>
          <w:sz w:val="24"/>
          <w:szCs w:val="24"/>
          <w:lang w:eastAsia="ru-RU"/>
        </w:rPr>
        <w:t>В современных кризисных условиях очень важными являются меры, принимаемые правительством РФ для поддержания экономической активности в стране. Однако эти меры одновременно являются и основными рисками для российской экономики в целом. Проблема усиления рисков весьма актуальна на современном этапе. Перемены, происходящие в российской экономике</w:t>
      </w:r>
      <w:r w:rsidR="0040660E">
        <w:rPr>
          <w:rFonts w:ascii="Times New Roman" w:hAnsi="Times New Roman" w:cs="Times New Roman"/>
          <w:color w:val="646464"/>
          <w:sz w:val="24"/>
          <w:szCs w:val="24"/>
          <w:lang w:eastAsia="ru-RU"/>
        </w:rPr>
        <w:t xml:space="preserve"> в 2020 году</w:t>
      </w:r>
      <w:r w:rsidRPr="00F30146">
        <w:rPr>
          <w:rFonts w:ascii="Times New Roman" w:hAnsi="Times New Roman" w:cs="Times New Roman"/>
          <w:color w:val="646464"/>
          <w:sz w:val="24"/>
          <w:szCs w:val="24"/>
          <w:lang w:eastAsia="ru-RU"/>
        </w:rPr>
        <w:t xml:space="preserve">, </w:t>
      </w:r>
      <w:r w:rsidR="0040660E">
        <w:rPr>
          <w:rFonts w:ascii="Times New Roman" w:hAnsi="Times New Roman" w:cs="Times New Roman"/>
          <w:color w:val="646464"/>
          <w:sz w:val="24"/>
          <w:szCs w:val="24"/>
          <w:lang w:eastAsia="ru-RU"/>
        </w:rPr>
        <w:t xml:space="preserve">создавали и </w:t>
      </w:r>
      <w:r w:rsidRPr="00F30146">
        <w:rPr>
          <w:rFonts w:ascii="Times New Roman" w:hAnsi="Times New Roman" w:cs="Times New Roman"/>
          <w:color w:val="646464"/>
          <w:sz w:val="24"/>
          <w:szCs w:val="24"/>
          <w:lang w:eastAsia="ru-RU"/>
        </w:rPr>
        <w:t>создают высокий рисковый фон для любой экономической деятельности.</w:t>
      </w:r>
    </w:p>
    <w:p w:rsidR="00554BE2" w:rsidRPr="00F30146" w:rsidRDefault="00554BE2" w:rsidP="00554BE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146">
        <w:rPr>
          <w:rFonts w:ascii="Times New Roman" w:hAnsi="Times New Roman" w:cs="Times New Roman"/>
          <w:sz w:val="24"/>
          <w:szCs w:val="24"/>
        </w:rPr>
        <w:t xml:space="preserve">Вследствие введения ограничительных мер по предотвращению распространения новой </w:t>
      </w:r>
      <w:proofErr w:type="spellStart"/>
      <w:r w:rsidRPr="00F3014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30146">
        <w:rPr>
          <w:rFonts w:ascii="Times New Roman" w:hAnsi="Times New Roman" w:cs="Times New Roman"/>
          <w:sz w:val="24"/>
          <w:szCs w:val="24"/>
        </w:rPr>
        <w:t xml:space="preserve"> инфекции на территории региона, </w:t>
      </w:r>
      <w:r w:rsidR="0040660E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Pr="00F30146">
        <w:rPr>
          <w:rFonts w:ascii="Times New Roman" w:hAnsi="Times New Roman" w:cs="Times New Roman"/>
          <w:sz w:val="24"/>
          <w:szCs w:val="24"/>
        </w:rPr>
        <w:t>СЭР характериз</w:t>
      </w:r>
      <w:r w:rsidR="0040660E">
        <w:rPr>
          <w:rFonts w:ascii="Times New Roman" w:hAnsi="Times New Roman" w:cs="Times New Roman"/>
          <w:sz w:val="24"/>
          <w:szCs w:val="24"/>
        </w:rPr>
        <w:t>овался как умеренно стабильный</w:t>
      </w:r>
      <w:r w:rsidRPr="00F30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146">
        <w:rPr>
          <w:rFonts w:ascii="Times New Roman" w:hAnsi="Times New Roman" w:cs="Times New Roman"/>
          <w:sz w:val="24"/>
          <w:szCs w:val="24"/>
        </w:rPr>
        <w:t>М</w:t>
      </w:r>
      <w:r w:rsidRPr="00F30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акропрогноз</w:t>
      </w:r>
      <w:proofErr w:type="spellEnd"/>
      <w:r w:rsidRPr="00F30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</w:t>
      </w:r>
      <w:r w:rsidR="00406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лся</w:t>
      </w:r>
      <w:r w:rsidRPr="00F30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базовым и </w:t>
      </w:r>
      <w:r w:rsidR="00406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</w:t>
      </w:r>
      <w:r w:rsidRPr="00F30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подготовлен в условиях высокой неопределенности из-за непредсказуемости снятия карантинных мер, так как ключевым риском для прогноза </w:t>
      </w:r>
      <w:r w:rsidR="00406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оставался и </w:t>
      </w:r>
      <w:r w:rsidRPr="00F30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остается возможность ухудшения ситуации в экономике, в том числе в среднесрочной перспективе из-за </w:t>
      </w:r>
      <w:proofErr w:type="spellStart"/>
      <w:r w:rsidRPr="00F30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F30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554BE2" w:rsidRPr="00F30146" w:rsidRDefault="00554BE2" w:rsidP="00554BE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Темпы роста экономики обусловлены увеличением инвестиционной активности, повышением конкурентоспособности российской экономики и реализацией внешнеэкономического потенциала. </w:t>
      </w:r>
    </w:p>
    <w:p w:rsidR="00554BE2" w:rsidRPr="00F30146" w:rsidRDefault="0040660E" w:rsidP="00554BE2">
      <w:pPr>
        <w:shd w:val="clear" w:color="auto" w:fill="FFFFFF"/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54BE2" w:rsidRPr="00F301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Рисками для экономики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 и Ленинградской области в целом</w:t>
      </w:r>
      <w:r w:rsidR="00554BE2" w:rsidRPr="00F301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стадии восстановления могут стать санитарно-эпидемиологические ограничения, которые снимаются постепенно и неравномерно по регионам в зависимости от эпидемиологической ситуации и мощностей системы здравоохранения. Часть санитарно-эпидемиологических требований к условиям работы предприятий и организаций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носит</w:t>
      </w:r>
      <w:r w:rsidR="00554BE2" w:rsidRPr="00F301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долгосрочный характер.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54BE2" w:rsidRPr="00F301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менно санитарно-эпидемиологическая обстановка будет определять скорость восстановления экономики. </w:t>
      </w:r>
    </w:p>
    <w:p w:rsidR="00554BE2" w:rsidRDefault="00554BE2" w:rsidP="00554BE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64F1">
        <w:rPr>
          <w:rFonts w:ascii="Times New Roman" w:hAnsi="Times New Roman" w:cs="Times New Roman"/>
          <w:b/>
          <w:i/>
          <w:color w:val="646464"/>
          <w:sz w:val="24"/>
          <w:szCs w:val="24"/>
          <w:u w:val="single"/>
          <w:lang w:eastAsia="ru-RU"/>
        </w:rPr>
        <w:t>Таким образом, т</w:t>
      </w:r>
      <w:r w:rsidRPr="002E64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раектория развития в 2020 году МО </w:t>
      </w:r>
      <w:proofErr w:type="spellStart"/>
      <w:r w:rsidRPr="002E64F1">
        <w:rPr>
          <w:rFonts w:ascii="Times New Roman" w:hAnsi="Times New Roman" w:cs="Times New Roman"/>
          <w:b/>
          <w:i/>
          <w:sz w:val="24"/>
          <w:szCs w:val="24"/>
          <w:u w:val="single"/>
        </w:rPr>
        <w:t>Кузнечнинское</w:t>
      </w:r>
      <w:proofErr w:type="spellEnd"/>
      <w:r w:rsidRPr="002E64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городское поселение, </w:t>
      </w:r>
      <w:proofErr w:type="gramStart"/>
      <w:r w:rsidRPr="002E64F1">
        <w:rPr>
          <w:rFonts w:ascii="Times New Roman" w:hAnsi="Times New Roman" w:cs="Times New Roman"/>
          <w:b/>
          <w:i/>
          <w:sz w:val="24"/>
          <w:szCs w:val="24"/>
          <w:u w:val="single"/>
        </w:rPr>
        <w:t>определя</w:t>
      </w:r>
      <w:r w:rsidR="0040660E">
        <w:rPr>
          <w:rFonts w:ascii="Times New Roman" w:hAnsi="Times New Roman" w:cs="Times New Roman"/>
          <w:b/>
          <w:i/>
          <w:sz w:val="24"/>
          <w:szCs w:val="24"/>
          <w:u w:val="single"/>
        </w:rPr>
        <w:t>лась</w:t>
      </w:r>
      <w:r w:rsidRPr="002E64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не</w:t>
      </w:r>
      <w:proofErr w:type="gramEnd"/>
      <w:r w:rsidRPr="002E64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только экономическими, но и эпидемиологическими факторами и в связи с этим характериз</w:t>
      </w:r>
      <w:r w:rsidR="0040660E">
        <w:rPr>
          <w:rFonts w:ascii="Times New Roman" w:hAnsi="Times New Roman" w:cs="Times New Roman"/>
          <w:b/>
          <w:i/>
          <w:sz w:val="24"/>
          <w:szCs w:val="24"/>
          <w:u w:val="single"/>
        </w:rPr>
        <w:t>овалась</w:t>
      </w:r>
      <w:r w:rsidRPr="002E64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повышенной степенью неопределенности, соответственно с возможными рисками второй волны пандемии, которые могут влиять на параметры социально-экономического развития, на достижение показателей основных характеристик.</w:t>
      </w:r>
    </w:p>
    <w:p w:rsidR="009D7ED8" w:rsidRPr="00682217" w:rsidRDefault="009D7ED8" w:rsidP="009D7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17">
        <w:rPr>
          <w:rFonts w:ascii="Times New Roman" w:hAnsi="Times New Roman" w:cs="Times New Roman"/>
          <w:sz w:val="24"/>
          <w:szCs w:val="24"/>
        </w:rPr>
        <w:t>Оценка качества осуществляется путем расчета среднего отклонения отчетных значений ключевых показателей от прогнозных значений, рассчитанных на отчетный год, с применением следующих формул: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12"/>
        <w:gridCol w:w="651"/>
        <w:gridCol w:w="7139"/>
        <w:gridCol w:w="1319"/>
        <w:gridCol w:w="109"/>
      </w:tblGrid>
      <w:tr w:rsidR="009D7ED8" w:rsidRPr="00682217" w:rsidTr="00812FDE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9D7ED8" w:rsidRPr="00682217" w:rsidRDefault="009D7ED8" w:rsidP="00812FDE">
            <w:pPr>
              <w:pStyle w:val="a4"/>
              <w:jc w:val="center"/>
              <w:rPr>
                <w:color w:val="000000"/>
              </w:rPr>
            </w:pPr>
            <w:r w:rsidRPr="00682217">
              <w:rPr>
                <w:color w:val="000000"/>
                <w:position w:val="-24"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64.5pt;height:36pt" o:ole="" fillcolor="window">
                  <v:imagedata r:id="rId5" o:title=""/>
                </v:shape>
                <o:OLEObject Type="Embed" ProgID="Equation.3" ShapeID="_x0000_i1059" DrawAspect="Content" ObjectID="_1673081457" r:id="rId6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9D7ED8" w:rsidRPr="00682217" w:rsidRDefault="009D7ED8" w:rsidP="00812FDE">
            <w:pPr>
              <w:pStyle w:val="a6"/>
              <w:rPr>
                <w:color w:val="000000"/>
              </w:rPr>
            </w:pPr>
            <w:r w:rsidRPr="00682217">
              <w:rPr>
                <w:color w:val="000000"/>
              </w:rPr>
              <w:t>(1)</w:t>
            </w:r>
          </w:p>
        </w:tc>
      </w:tr>
      <w:tr w:rsidR="009D7ED8" w:rsidRPr="00682217" w:rsidTr="00812FDE">
        <w:trPr>
          <w:jc w:val="center"/>
        </w:trPr>
        <w:tc>
          <w:tcPr>
            <w:tcW w:w="2022" w:type="dxa"/>
            <w:gridSpan w:val="2"/>
          </w:tcPr>
          <w:p w:rsidR="009D7ED8" w:rsidRPr="00352938" w:rsidRDefault="009D7ED8" w:rsidP="00812F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</w:tc>
        <w:tc>
          <w:tcPr>
            <w:tcW w:w="8399" w:type="dxa"/>
            <w:gridSpan w:val="3"/>
          </w:tcPr>
          <w:p w:rsidR="009D7ED8" w:rsidRPr="00352938" w:rsidRDefault="009D7ED8" w:rsidP="00812F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ED8" w:rsidRPr="00682217" w:rsidTr="00812FDE">
        <w:trPr>
          <w:gridAfter w:val="1"/>
          <w:wAfter w:w="107" w:type="dxa"/>
          <w:jc w:val="center"/>
        </w:trPr>
        <w:tc>
          <w:tcPr>
            <w:tcW w:w="1384" w:type="dxa"/>
          </w:tcPr>
          <w:p w:rsidR="009D7ED8" w:rsidRPr="00352938" w:rsidRDefault="009D7ED8" w:rsidP="00812FDE">
            <w:pPr>
              <w:pStyle w:val="a4"/>
              <w:rPr>
                <w:color w:val="000000"/>
              </w:rPr>
            </w:pPr>
            <w:r w:rsidRPr="00352938">
              <w:rPr>
                <w:color w:val="000000"/>
                <w:position w:val="-14"/>
              </w:rPr>
              <w:object w:dxaOrig="260" w:dyaOrig="380">
                <v:shape id="_x0000_i1060" type="#_x0000_t75" style="width:14.25pt;height:19.5pt" o:ole="">
                  <v:imagedata r:id="rId7" o:title=""/>
                </v:shape>
                <o:OLEObject Type="Embed" ProgID="Equation.3" ShapeID="_x0000_i1060" DrawAspect="Content" ObjectID="_1673081458" r:id="rId8"/>
              </w:object>
            </w:r>
          </w:p>
        </w:tc>
        <w:tc>
          <w:tcPr>
            <w:tcW w:w="8930" w:type="dxa"/>
            <w:gridSpan w:val="3"/>
          </w:tcPr>
          <w:p w:rsidR="009D7ED8" w:rsidRPr="00352938" w:rsidRDefault="009D7ED8" w:rsidP="00812FDE">
            <w:pPr>
              <w:pStyle w:val="a6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среднее отклонение отчетных значений ключевых макропоказателей</w:t>
            </w:r>
          </w:p>
        </w:tc>
      </w:tr>
      <w:tr w:rsidR="009D7ED8" w:rsidRPr="00682217" w:rsidTr="00812FDE">
        <w:trPr>
          <w:gridAfter w:val="1"/>
          <w:wAfter w:w="107" w:type="dxa"/>
          <w:jc w:val="center"/>
        </w:trPr>
        <w:tc>
          <w:tcPr>
            <w:tcW w:w="1384" w:type="dxa"/>
          </w:tcPr>
          <w:p w:rsidR="009D7ED8" w:rsidRPr="00352938" w:rsidRDefault="009D7ED8" w:rsidP="00812FDE">
            <w:pPr>
              <w:pStyle w:val="a4"/>
              <w:rPr>
                <w:color w:val="000000"/>
              </w:rPr>
            </w:pPr>
            <w:r w:rsidRPr="00352938">
              <w:rPr>
                <w:color w:val="000000"/>
                <w:position w:val="-12"/>
              </w:rPr>
              <w:object w:dxaOrig="320" w:dyaOrig="360">
                <v:shape id="_x0000_i1061" type="#_x0000_t75" style="width:17.25pt;height:18pt" o:ole="">
                  <v:imagedata r:id="rId9" o:title=""/>
                </v:shape>
                <o:OLEObject Type="Embed" ProgID="Equation.3" ShapeID="_x0000_i1061" DrawAspect="Content" ObjectID="_1673081459" r:id="rId10"/>
              </w:object>
            </w:r>
          </w:p>
        </w:tc>
        <w:tc>
          <w:tcPr>
            <w:tcW w:w="8930" w:type="dxa"/>
            <w:gridSpan w:val="3"/>
          </w:tcPr>
          <w:p w:rsidR="009D7ED8" w:rsidRPr="00352938" w:rsidRDefault="009D7ED8" w:rsidP="00812FDE">
            <w:pPr>
              <w:pStyle w:val="a6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отклонение по </w:t>
            </w:r>
            <w:proofErr w:type="spellStart"/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-му ключевому макропоказателей</w:t>
            </w:r>
          </w:p>
        </w:tc>
      </w:tr>
      <w:tr w:rsidR="009D7ED8" w:rsidRPr="00682217" w:rsidTr="00812FDE">
        <w:trPr>
          <w:gridAfter w:val="1"/>
          <w:wAfter w:w="107" w:type="dxa"/>
          <w:jc w:val="center"/>
        </w:trPr>
        <w:tc>
          <w:tcPr>
            <w:tcW w:w="1384" w:type="dxa"/>
          </w:tcPr>
          <w:p w:rsidR="009D7ED8" w:rsidRPr="00352938" w:rsidRDefault="009D7ED8" w:rsidP="00812FDE">
            <w:pPr>
              <w:pStyle w:val="a4"/>
              <w:rPr>
                <w:color w:val="000000"/>
                <w:position w:val="-30"/>
              </w:rPr>
            </w:pPr>
            <w:r w:rsidRPr="00352938">
              <w:rPr>
                <w:color w:val="000000"/>
                <w:position w:val="-30"/>
                <w:lang w:val="en-US"/>
              </w:rPr>
              <w:t>N</w:t>
            </w:r>
          </w:p>
        </w:tc>
        <w:tc>
          <w:tcPr>
            <w:tcW w:w="8930" w:type="dxa"/>
            <w:gridSpan w:val="3"/>
          </w:tcPr>
          <w:p w:rsidR="009D7ED8" w:rsidRPr="00352938" w:rsidRDefault="009D7ED8" w:rsidP="00812FDE">
            <w:pPr>
              <w:pStyle w:val="a6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общее количество ключевых макропоказателей прогноза, используемых для оценки качества прогноза</w:t>
            </w:r>
          </w:p>
        </w:tc>
      </w:tr>
    </w:tbl>
    <w:p w:rsidR="009D7ED8" w:rsidRPr="00682217" w:rsidRDefault="009D7ED8" w:rsidP="009D7ED8">
      <w:pPr>
        <w:tabs>
          <w:tab w:val="left" w:pos="851"/>
        </w:tabs>
        <w:rPr>
          <w:color w:val="000000"/>
        </w:rPr>
      </w:pPr>
    </w:p>
    <w:p w:rsidR="009D7ED8" w:rsidRPr="00352938" w:rsidRDefault="009D7ED8" w:rsidP="009D7E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9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показателей, которые определяются в рублях или человека (иных натуральных единицах)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202"/>
        <w:gridCol w:w="1428"/>
      </w:tblGrid>
      <w:tr w:rsidR="009D7ED8" w:rsidRPr="00352938" w:rsidTr="00812FDE">
        <w:trPr>
          <w:trHeight w:val="680"/>
          <w:jc w:val="center"/>
        </w:trPr>
        <w:tc>
          <w:tcPr>
            <w:tcW w:w="9021" w:type="dxa"/>
            <w:vAlign w:val="center"/>
          </w:tcPr>
          <w:p w:rsidR="009D7ED8" w:rsidRPr="00352938" w:rsidRDefault="009D7ED8" w:rsidP="00812FDE">
            <w:pPr>
              <w:pStyle w:val="a4"/>
              <w:jc w:val="center"/>
              <w:rPr>
                <w:color w:val="000000"/>
              </w:rPr>
            </w:pPr>
            <w:r w:rsidRPr="00352938">
              <w:rPr>
                <w:color w:val="000000"/>
                <w:position w:val="-32"/>
              </w:rPr>
              <w:object w:dxaOrig="2700" w:dyaOrig="740">
                <v:shape id="_x0000_i1062" type="#_x0000_t75" style="width:153.75pt;height:39.75pt" o:ole="" fillcolor="window">
                  <v:imagedata r:id="rId11" o:title=""/>
                </v:shape>
                <o:OLEObject Type="Embed" ProgID="Equation.3" ShapeID="_x0000_i1062" DrawAspect="Content" ObjectID="_1673081460" r:id="rId12"/>
              </w:object>
            </w:r>
          </w:p>
        </w:tc>
        <w:tc>
          <w:tcPr>
            <w:tcW w:w="1400" w:type="dxa"/>
            <w:vAlign w:val="center"/>
          </w:tcPr>
          <w:p w:rsidR="009D7ED8" w:rsidRPr="00352938" w:rsidRDefault="009D7ED8" w:rsidP="00812F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</w:tr>
    </w:tbl>
    <w:p w:rsidR="009D7ED8" w:rsidRPr="00352938" w:rsidRDefault="009D7ED8" w:rsidP="009D7E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938">
        <w:rPr>
          <w:rFonts w:ascii="Times New Roman" w:hAnsi="Times New Roman" w:cs="Times New Roman"/>
          <w:color w:val="000000"/>
          <w:sz w:val="24"/>
          <w:szCs w:val="24"/>
        </w:rPr>
        <w:t xml:space="preserve">Для показателей, которые определяются в процентах, формула расчета отклонения от прогнозного значения представлена в следующем виде:  </w:t>
      </w:r>
    </w:p>
    <w:tbl>
      <w:tblPr>
        <w:tblW w:w="4476" w:type="pct"/>
        <w:jc w:val="center"/>
        <w:tblLayout w:type="fixed"/>
        <w:tblLook w:val="0000" w:firstRow="0" w:lastRow="0" w:firstColumn="0" w:lastColumn="0" w:noHBand="0" w:noVBand="0"/>
      </w:tblPr>
      <w:tblGrid>
        <w:gridCol w:w="298"/>
        <w:gridCol w:w="654"/>
        <w:gridCol w:w="7130"/>
        <w:gridCol w:w="1177"/>
        <w:gridCol w:w="257"/>
      </w:tblGrid>
      <w:tr w:rsidR="009D7ED8" w:rsidRPr="00352938" w:rsidTr="00812FDE">
        <w:trPr>
          <w:trHeight w:val="680"/>
          <w:jc w:val="center"/>
        </w:trPr>
        <w:tc>
          <w:tcPr>
            <w:tcW w:w="7678" w:type="dxa"/>
            <w:gridSpan w:val="3"/>
            <w:vAlign w:val="center"/>
          </w:tcPr>
          <w:p w:rsidR="009D7ED8" w:rsidRPr="00352938" w:rsidRDefault="009D7ED8" w:rsidP="00812FDE">
            <w:pPr>
              <w:pStyle w:val="a4"/>
              <w:jc w:val="center"/>
              <w:rPr>
                <w:color w:val="000000"/>
              </w:rPr>
            </w:pPr>
            <w:r w:rsidRPr="00352938">
              <w:rPr>
                <w:color w:val="000000"/>
                <w:position w:val="-14"/>
              </w:rPr>
              <w:object w:dxaOrig="1540" w:dyaOrig="400">
                <v:shape id="_x0000_i1063" type="#_x0000_t75" style="width:87pt;height:21pt" o:ole="" fillcolor="window">
                  <v:imagedata r:id="rId13" o:title=""/>
                </v:shape>
                <o:OLEObject Type="Embed" ProgID="Equation.3" ShapeID="_x0000_i1063" DrawAspect="Content" ObjectID="_1673081461" r:id="rId14"/>
              </w:object>
            </w:r>
          </w:p>
        </w:tc>
        <w:tc>
          <w:tcPr>
            <w:tcW w:w="1362" w:type="dxa"/>
            <w:gridSpan w:val="2"/>
            <w:vAlign w:val="center"/>
          </w:tcPr>
          <w:p w:rsidR="009D7ED8" w:rsidRPr="00352938" w:rsidRDefault="009D7ED8" w:rsidP="00812F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</w:tr>
      <w:tr w:rsidR="009D7ED8" w:rsidRPr="00352938" w:rsidTr="00812FDE">
        <w:trPr>
          <w:jc w:val="center"/>
        </w:trPr>
        <w:tc>
          <w:tcPr>
            <w:tcW w:w="905" w:type="dxa"/>
            <w:gridSpan w:val="2"/>
          </w:tcPr>
          <w:p w:rsidR="009D7ED8" w:rsidRPr="00352938" w:rsidRDefault="009D7ED8" w:rsidP="00812F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</w:tc>
        <w:tc>
          <w:tcPr>
            <w:tcW w:w="8135" w:type="dxa"/>
            <w:gridSpan w:val="3"/>
          </w:tcPr>
          <w:p w:rsidR="009D7ED8" w:rsidRPr="00352938" w:rsidRDefault="009D7ED8" w:rsidP="00812F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ED8" w:rsidRPr="00352938" w:rsidTr="00812FDE">
        <w:trPr>
          <w:gridAfter w:val="1"/>
          <w:wAfter w:w="244" w:type="dxa"/>
          <w:jc w:val="center"/>
        </w:trPr>
        <w:tc>
          <w:tcPr>
            <w:tcW w:w="284" w:type="dxa"/>
          </w:tcPr>
          <w:p w:rsidR="009D7ED8" w:rsidRPr="00352938" w:rsidRDefault="009D7ED8" w:rsidP="00812FDE">
            <w:pPr>
              <w:pStyle w:val="a4"/>
              <w:rPr>
                <w:color w:val="000000"/>
              </w:rPr>
            </w:pPr>
            <w:r w:rsidRPr="00352938">
              <w:rPr>
                <w:color w:val="000000"/>
                <w:position w:val="-14"/>
              </w:rPr>
              <w:object w:dxaOrig="320" w:dyaOrig="380">
                <v:shape id="_x0000_i1064" type="#_x0000_t75" style="width:17.25pt;height:19.5pt" o:ole="">
                  <v:imagedata r:id="rId15" o:title=""/>
                </v:shape>
                <o:OLEObject Type="Embed" ProgID="Equation.3" ShapeID="_x0000_i1064" DrawAspect="Content" ObjectID="_1673081462" r:id="rId16"/>
              </w:object>
            </w:r>
          </w:p>
        </w:tc>
        <w:tc>
          <w:tcPr>
            <w:tcW w:w="8512" w:type="dxa"/>
            <w:gridSpan w:val="3"/>
          </w:tcPr>
          <w:p w:rsidR="009D7ED8" w:rsidRPr="00352938" w:rsidRDefault="009D7ED8" w:rsidP="00812F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фактическое значение i-</w:t>
            </w:r>
            <w:proofErr w:type="spellStart"/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ключевого макропоказателя за отчетный год </w:t>
            </w:r>
          </w:p>
        </w:tc>
      </w:tr>
      <w:tr w:rsidR="009D7ED8" w:rsidRPr="00352938" w:rsidTr="00812FDE">
        <w:trPr>
          <w:gridAfter w:val="1"/>
          <w:wAfter w:w="244" w:type="dxa"/>
          <w:jc w:val="center"/>
        </w:trPr>
        <w:tc>
          <w:tcPr>
            <w:tcW w:w="284" w:type="dxa"/>
          </w:tcPr>
          <w:p w:rsidR="009D7ED8" w:rsidRPr="00352938" w:rsidRDefault="009D7ED8" w:rsidP="00812FDE">
            <w:pPr>
              <w:pStyle w:val="a4"/>
              <w:rPr>
                <w:color w:val="000000"/>
              </w:rPr>
            </w:pPr>
            <w:r w:rsidRPr="00352938">
              <w:rPr>
                <w:color w:val="000000"/>
                <w:position w:val="-14"/>
              </w:rPr>
              <w:object w:dxaOrig="420" w:dyaOrig="380">
                <v:shape id="_x0000_i1065" type="#_x0000_t75" style="width:22.5pt;height:20.25pt" o:ole="">
                  <v:imagedata r:id="rId17" o:title=""/>
                </v:shape>
                <o:OLEObject Type="Embed" ProgID="Equation.3" ShapeID="_x0000_i1065" DrawAspect="Content" ObjectID="_1673081463" r:id="rId18"/>
              </w:object>
            </w:r>
          </w:p>
        </w:tc>
        <w:tc>
          <w:tcPr>
            <w:tcW w:w="8512" w:type="dxa"/>
            <w:gridSpan w:val="3"/>
          </w:tcPr>
          <w:p w:rsidR="009D7ED8" w:rsidRDefault="009D7ED8" w:rsidP="00812F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прогнозное значение i-</w:t>
            </w:r>
            <w:proofErr w:type="spellStart"/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35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ключевого макропоказателя на год, утвержденное в нормативно-правовом акте муниципального образования об одобрении прогноза на среднесрочный период</w:t>
            </w:r>
          </w:p>
          <w:p w:rsidR="009D7ED8" w:rsidRDefault="009D7ED8" w:rsidP="00812FDE">
            <w:pPr>
              <w:pStyle w:val="a6"/>
              <w:ind w:left="27" w:firstLine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оценки качества ключевыми показателями прогноза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СЭР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утвержденного Порядка разработки, корректировки, осуществления мониторинга реализации и оценки качества прогноза СЭР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поселение, являются следующие показатели:</w:t>
            </w:r>
          </w:p>
          <w:p w:rsidR="009D7ED8" w:rsidRDefault="009D7ED8" w:rsidP="00812FDE">
            <w:pPr>
              <w:pStyle w:val="a6"/>
              <w:ind w:left="27" w:firstLine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1.Демографические показатели (численность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населения,чел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9D7ED8" w:rsidRPr="00352938" w:rsidRDefault="009D7ED8" w:rsidP="00812FDE">
            <w:pPr>
              <w:pStyle w:val="a6"/>
              <w:ind w:left="27" w:firstLine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045">
              <w:rPr>
                <w:color w:val="000000"/>
                <w:position w:val="-24"/>
              </w:rPr>
              <w:object w:dxaOrig="2880" w:dyaOrig="620">
                <v:shape id="_x0000_i1066" type="#_x0000_t75" style="width:164.25pt;height:33pt" o:ole="" fillcolor="window">
                  <v:imagedata r:id="rId19" o:title=""/>
                </v:shape>
                <o:OLEObject Type="Embed" ProgID="Equation.3" ShapeID="_x0000_i1066" DrawAspect="Content" ObjectID="_1673081464" r:id="rId20"/>
              </w:object>
            </w:r>
            <w:r>
              <w:rPr>
                <w:color w:val="000000"/>
              </w:rPr>
              <w:t>= 99%</w:t>
            </w:r>
          </w:p>
          <w:p w:rsidR="009D7ED8" w:rsidRDefault="009D7ED8" w:rsidP="00812FDE">
            <w:pPr>
              <w:pStyle w:val="a6"/>
              <w:rPr>
                <w:color w:val="000000"/>
              </w:rPr>
            </w:pPr>
            <w:r w:rsidRPr="00682217">
              <w:rPr>
                <w:color w:val="000000"/>
                <w:position w:val="-24"/>
              </w:rPr>
              <w:object w:dxaOrig="2060" w:dyaOrig="680">
                <v:shape id="_x0000_i1067" type="#_x0000_t75" style="width:116.25pt;height:36pt" o:ole="" fillcolor="window">
                  <v:imagedata r:id="rId21" o:title=""/>
                </v:shape>
                <o:OLEObject Type="Embed" ProgID="Equation.3" ShapeID="_x0000_i1067" DrawAspect="Content" ObjectID="_1673081465" r:id="rId22"/>
              </w:object>
            </w:r>
          </w:p>
          <w:p w:rsidR="009D7ED8" w:rsidRDefault="009D7ED8" w:rsidP="00812F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Оборот розничной торговли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(млн. руб.)</w:t>
            </w:r>
          </w:p>
          <w:p w:rsidR="009D7ED8" w:rsidRPr="008749B9" w:rsidRDefault="009D7ED8" w:rsidP="00812F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position w:val="-28"/>
              </w:rPr>
              <w:object w:dxaOrig="2900" w:dyaOrig="660">
                <v:shape id="_x0000_i1068" type="#_x0000_t75" style="width:165pt;height:35.25pt" o:ole="" fillcolor="window">
                  <v:imagedata r:id="rId23" o:title=""/>
                </v:shape>
                <o:OLEObject Type="Embed" ProgID="Equation.3" ShapeID="_x0000_i1068" DrawAspect="Content" ObjectID="_1673081466" r:id="rId24"/>
              </w:object>
            </w:r>
            <w:r>
              <w:rPr>
                <w:color w:val="000000"/>
              </w:rPr>
              <w:t>=104%</w:t>
            </w:r>
          </w:p>
          <w:p w:rsidR="009D7ED8" w:rsidRDefault="009D7ED8" w:rsidP="00812FDE">
            <w:pPr>
              <w:pStyle w:val="a6"/>
              <w:rPr>
                <w:color w:val="000000"/>
              </w:rPr>
            </w:pPr>
            <w:r w:rsidRPr="00682217">
              <w:rPr>
                <w:color w:val="000000"/>
                <w:position w:val="-24"/>
              </w:rPr>
              <w:object w:dxaOrig="2079" w:dyaOrig="680">
                <v:shape id="_x0000_i1069" type="#_x0000_t75" style="width:117.75pt;height:36pt" o:ole="" fillcolor="window">
                  <v:imagedata r:id="rId25" o:title=""/>
                </v:shape>
                <o:OLEObject Type="Embed" ProgID="Equation.3" ShapeID="_x0000_i1069" DrawAspect="Content" ObjectID="_1673081467" r:id="rId26"/>
              </w:object>
            </w:r>
          </w:p>
          <w:p w:rsidR="009D7ED8" w:rsidRDefault="009D7ED8" w:rsidP="00812FDE">
            <w:pPr>
              <w:pStyle w:val="a6"/>
              <w:rPr>
                <w:color w:val="000000"/>
              </w:rPr>
            </w:pPr>
          </w:p>
          <w:p w:rsidR="009D7ED8" w:rsidRDefault="009D7ED8" w:rsidP="00812F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Оборот общественного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(млн. руб.)</w:t>
            </w:r>
          </w:p>
          <w:p w:rsidR="009D7ED8" w:rsidRDefault="009D7ED8" w:rsidP="00812FDE">
            <w:pPr>
              <w:pStyle w:val="a6"/>
              <w:rPr>
                <w:color w:val="000000"/>
              </w:rPr>
            </w:pPr>
            <w:r w:rsidRPr="00961794">
              <w:rPr>
                <w:color w:val="000000"/>
                <w:position w:val="-28"/>
              </w:rPr>
              <w:object w:dxaOrig="2700" w:dyaOrig="660">
                <v:shape id="_x0000_i1070" type="#_x0000_t75" style="width:153.75pt;height:35.25pt" o:ole="" fillcolor="window">
                  <v:imagedata r:id="rId27" o:title=""/>
                </v:shape>
                <o:OLEObject Type="Embed" ProgID="Equation.3" ShapeID="_x0000_i1070" DrawAspect="Content" ObjectID="_1673081468" r:id="rId28"/>
              </w:object>
            </w:r>
            <w:r>
              <w:rPr>
                <w:color w:val="000000"/>
              </w:rPr>
              <w:t>=108%</w:t>
            </w:r>
          </w:p>
          <w:p w:rsidR="009D7ED8" w:rsidRDefault="009D7ED8" w:rsidP="00812FDE">
            <w:pPr>
              <w:pStyle w:val="a6"/>
              <w:rPr>
                <w:color w:val="000000"/>
              </w:rPr>
            </w:pPr>
            <w:r w:rsidRPr="00682217">
              <w:rPr>
                <w:color w:val="000000"/>
                <w:position w:val="-24"/>
              </w:rPr>
              <w:object w:dxaOrig="2079" w:dyaOrig="680">
                <v:shape id="_x0000_i1071" type="#_x0000_t75" style="width:117.75pt;height:36pt" o:ole="" fillcolor="window">
                  <v:imagedata r:id="rId29" o:title=""/>
                </v:shape>
                <o:OLEObject Type="Embed" ProgID="Equation.3" ShapeID="_x0000_i1071" DrawAspect="Content" ObjectID="_1673081469" r:id="rId30"/>
              </w:object>
            </w:r>
          </w:p>
          <w:p w:rsidR="009D7ED8" w:rsidRDefault="009D7ED8" w:rsidP="00812F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Среднесписочная численность работников организаций (чел.)</w:t>
            </w:r>
          </w:p>
          <w:p w:rsidR="009D7ED8" w:rsidRDefault="009D7ED8" w:rsidP="00812FDE">
            <w:pPr>
              <w:pStyle w:val="a6"/>
              <w:rPr>
                <w:color w:val="000000"/>
              </w:rPr>
            </w:pPr>
            <w:r w:rsidRPr="00936045">
              <w:rPr>
                <w:color w:val="000000"/>
                <w:position w:val="-24"/>
              </w:rPr>
              <w:object w:dxaOrig="2860" w:dyaOrig="620">
                <v:shape id="_x0000_i1072" type="#_x0000_t75" style="width:162.75pt;height:33pt" o:ole="" fillcolor="window">
                  <v:imagedata r:id="rId31" o:title=""/>
                </v:shape>
                <o:OLEObject Type="Embed" ProgID="Equation.3" ShapeID="_x0000_i1072" DrawAspect="Content" ObjectID="_1673081470" r:id="rId32"/>
              </w:object>
            </w:r>
            <w:r>
              <w:rPr>
                <w:color w:val="000000"/>
              </w:rPr>
              <w:t>=99,7%</w:t>
            </w:r>
          </w:p>
          <w:p w:rsidR="009D7ED8" w:rsidRDefault="009D7ED8" w:rsidP="00812FDE">
            <w:pPr>
              <w:pStyle w:val="a6"/>
              <w:rPr>
                <w:color w:val="000000"/>
              </w:rPr>
            </w:pPr>
            <w:r w:rsidRPr="00682217">
              <w:rPr>
                <w:color w:val="000000"/>
                <w:position w:val="-24"/>
              </w:rPr>
              <w:object w:dxaOrig="2220" w:dyaOrig="680">
                <v:shape id="_x0000_i1073" type="#_x0000_t75" style="width:126pt;height:36pt" o:ole="" fillcolor="window">
                  <v:imagedata r:id="rId33" o:title=""/>
                </v:shape>
                <o:OLEObject Type="Embed" ProgID="Equation.3" ShapeID="_x0000_i1073" DrawAspect="Content" ObjectID="_1673081471" r:id="rId34"/>
              </w:object>
            </w:r>
          </w:p>
          <w:p w:rsidR="009D7ED8" w:rsidRDefault="009D7ED8" w:rsidP="00812F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Среднемесячная номинальная начисленная заработная плата в целом по муниципальному образованию (руб.)</w:t>
            </w:r>
          </w:p>
          <w:p w:rsidR="009D7ED8" w:rsidRDefault="009D7ED8" w:rsidP="00812FDE">
            <w:pPr>
              <w:pStyle w:val="a6"/>
              <w:rPr>
                <w:color w:val="000000"/>
              </w:rPr>
            </w:pPr>
            <w:r w:rsidRPr="00516242">
              <w:rPr>
                <w:color w:val="000000"/>
                <w:position w:val="-28"/>
              </w:rPr>
              <w:object w:dxaOrig="3320" w:dyaOrig="660">
                <v:shape id="_x0000_i1074" type="#_x0000_t75" style="width:189pt;height:35.25pt" o:ole="" fillcolor="window">
                  <v:imagedata r:id="rId35" o:title=""/>
                </v:shape>
                <o:OLEObject Type="Embed" ProgID="Equation.3" ShapeID="_x0000_i1074" DrawAspect="Content" ObjectID="_1673081472" r:id="rId36"/>
              </w:object>
            </w:r>
            <w:r>
              <w:rPr>
                <w:color w:val="000000"/>
              </w:rPr>
              <w:t>=100,4</w:t>
            </w:r>
          </w:p>
          <w:p w:rsidR="009D7ED8" w:rsidRPr="00516242" w:rsidRDefault="009D7ED8" w:rsidP="00812F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217">
              <w:rPr>
                <w:color w:val="000000"/>
                <w:position w:val="-24"/>
              </w:rPr>
              <w:object w:dxaOrig="2360" w:dyaOrig="680">
                <v:shape id="_x0000_i1075" type="#_x0000_t75" style="width:133.5pt;height:36pt" o:ole="" fillcolor="window">
                  <v:imagedata r:id="rId37" o:title=""/>
                </v:shape>
                <o:OLEObject Type="Embed" ProgID="Equation.3" ShapeID="_x0000_i1075" DrawAspect="Content" ObjectID="_1673081473" r:id="rId38"/>
              </w:object>
            </w:r>
          </w:p>
        </w:tc>
      </w:tr>
    </w:tbl>
    <w:p w:rsidR="009D7ED8" w:rsidRPr="00682217" w:rsidRDefault="009D7ED8" w:rsidP="009D7ED8">
      <w:pPr>
        <w:tabs>
          <w:tab w:val="left" w:pos="851"/>
        </w:tabs>
        <w:rPr>
          <w:color w:val="000000"/>
        </w:rPr>
      </w:pPr>
    </w:p>
    <w:p w:rsidR="009D7ED8" w:rsidRPr="00352938" w:rsidRDefault="009D7ED8" w:rsidP="009D7E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938">
        <w:rPr>
          <w:rFonts w:ascii="Times New Roman" w:hAnsi="Times New Roman" w:cs="Times New Roman"/>
          <w:sz w:val="24"/>
          <w:szCs w:val="24"/>
        </w:rPr>
        <w:t xml:space="preserve">если расчетное среднее отклонение </w:t>
      </w:r>
      <w:r w:rsidRPr="00352938">
        <w:rPr>
          <w:rFonts w:ascii="Times New Roman" w:hAnsi="Times New Roman" w:cs="Times New Roman"/>
          <w:color w:val="000000"/>
          <w:sz w:val="24"/>
          <w:szCs w:val="24"/>
        </w:rPr>
        <w:t>отчетных значений ключевых макропоказателей развития экономики от прогнозных значений:</w:t>
      </w:r>
    </w:p>
    <w:p w:rsidR="009D7ED8" w:rsidRPr="00352938" w:rsidRDefault="009D7ED8" w:rsidP="009D7E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938">
        <w:rPr>
          <w:rFonts w:ascii="Times New Roman" w:hAnsi="Times New Roman" w:cs="Times New Roman"/>
          <w:color w:val="000000"/>
          <w:sz w:val="24"/>
          <w:szCs w:val="24"/>
        </w:rPr>
        <w:t>менее 20% - качество прогноза признается хорошим;</w:t>
      </w:r>
    </w:p>
    <w:p w:rsidR="009D7ED8" w:rsidRPr="00352938" w:rsidRDefault="009D7ED8" w:rsidP="009D7E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938">
        <w:rPr>
          <w:rFonts w:ascii="Times New Roman" w:hAnsi="Times New Roman" w:cs="Times New Roman"/>
          <w:color w:val="000000"/>
          <w:sz w:val="24"/>
          <w:szCs w:val="24"/>
        </w:rPr>
        <w:t>от 20 до 50% - качество прогноза признается удовлетворительным;</w:t>
      </w:r>
    </w:p>
    <w:p w:rsidR="009D7ED8" w:rsidRDefault="009D7ED8" w:rsidP="009D7E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938">
        <w:rPr>
          <w:rFonts w:ascii="Times New Roman" w:hAnsi="Times New Roman" w:cs="Times New Roman"/>
          <w:sz w:val="24"/>
          <w:szCs w:val="24"/>
        </w:rPr>
        <w:t xml:space="preserve"> более 50% - качество прогноза признается неудовлетворительным.</w:t>
      </w:r>
    </w:p>
    <w:p w:rsidR="009D7ED8" w:rsidRDefault="009D7ED8" w:rsidP="009D7E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расчетным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данным,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показателя имеют среднее отклонение отчетных значений менее 20%, 3 показателя от 20 до 50%. Качество прогноза признается удовлетворительным. </w:t>
      </w:r>
    </w:p>
    <w:p w:rsidR="004019A2" w:rsidRDefault="009D7ED8" w:rsidP="004019A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0C13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мониторинга контроля и оценки качества Прогноза будут учитываться администрацией при Разработке Прогноза на среднесрочный период в следующем плановом</w:t>
      </w:r>
      <w:r w:rsidR="004019A2" w:rsidRPr="004019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019A2" w:rsidRPr="00F00C13">
        <w:rPr>
          <w:rFonts w:ascii="Times New Roman" w:hAnsi="Times New Roman" w:cs="Times New Roman"/>
          <w:b/>
          <w:i/>
          <w:sz w:val="24"/>
          <w:szCs w:val="24"/>
          <w:u w:val="single"/>
        </w:rPr>
        <w:t>периоде.</w:t>
      </w:r>
    </w:p>
    <w:p w:rsidR="009D7ED8" w:rsidRPr="002E64F1" w:rsidRDefault="009D7ED8" w:rsidP="009D7ED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4BE2" w:rsidRPr="002E64F1" w:rsidRDefault="00554BE2" w:rsidP="004047F6">
      <w:pPr>
        <w:pStyle w:val="a4"/>
        <w:spacing w:line="321" w:lineRule="exact"/>
        <w:ind w:left="232"/>
        <w:jc w:val="both"/>
      </w:pPr>
    </w:p>
    <w:p w:rsidR="004047F6" w:rsidRDefault="004047F6" w:rsidP="004047F6">
      <w:pPr>
        <w:pStyle w:val="a4"/>
        <w:spacing w:before="65"/>
        <w:ind w:left="232"/>
      </w:pPr>
    </w:p>
    <w:p w:rsidR="00772AD0" w:rsidRDefault="00772AD0" w:rsidP="00772AD0">
      <w:pPr>
        <w:pStyle w:val="a4"/>
        <w:ind w:left="232" w:right="955" w:firstLine="708"/>
      </w:pPr>
    </w:p>
    <w:p w:rsidR="00772AD0" w:rsidRDefault="00772AD0" w:rsidP="00772AD0">
      <w:pPr>
        <w:pStyle w:val="a4"/>
        <w:tabs>
          <w:tab w:val="left" w:pos="7137"/>
        </w:tabs>
        <w:spacing w:before="65"/>
        <w:ind w:left="232" w:right="865" w:firstLine="777"/>
      </w:pPr>
    </w:p>
    <w:p w:rsidR="00772AD0" w:rsidRDefault="00772AD0" w:rsidP="00772AD0">
      <w:pPr>
        <w:pStyle w:val="a4"/>
        <w:rPr>
          <w:sz w:val="30"/>
        </w:rPr>
      </w:pPr>
    </w:p>
    <w:p w:rsidR="00C6201F" w:rsidRPr="00C6201F" w:rsidRDefault="00C6201F" w:rsidP="00E13594">
      <w:pPr>
        <w:spacing w:after="375" w:line="240" w:lineRule="auto"/>
        <w:jc w:val="both"/>
        <w:outlineLvl w:val="0"/>
        <w:rPr>
          <w:rFonts w:ascii="Helvetica" w:eastAsia="Times New Roman" w:hAnsi="Helvetica" w:cs="Helvetica"/>
          <w:color w:val="183741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C6201F" w:rsidRPr="00C6201F" w:rsidSect="00772AD0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9576C"/>
    <w:multiLevelType w:val="multilevel"/>
    <w:tmpl w:val="3F46BD9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1F"/>
    <w:rsid w:val="00163F6B"/>
    <w:rsid w:val="002C6B91"/>
    <w:rsid w:val="002E64F1"/>
    <w:rsid w:val="00352938"/>
    <w:rsid w:val="00367110"/>
    <w:rsid w:val="004019A2"/>
    <w:rsid w:val="004047F6"/>
    <w:rsid w:val="0040660E"/>
    <w:rsid w:val="00432E34"/>
    <w:rsid w:val="00475FC0"/>
    <w:rsid w:val="00492430"/>
    <w:rsid w:val="004A7A80"/>
    <w:rsid w:val="00516242"/>
    <w:rsid w:val="00554BE2"/>
    <w:rsid w:val="0059302E"/>
    <w:rsid w:val="005B7A5D"/>
    <w:rsid w:val="00622DCF"/>
    <w:rsid w:val="006259CC"/>
    <w:rsid w:val="0065261F"/>
    <w:rsid w:val="00772AD0"/>
    <w:rsid w:val="00846E9F"/>
    <w:rsid w:val="008477E6"/>
    <w:rsid w:val="008749B9"/>
    <w:rsid w:val="008A5DC0"/>
    <w:rsid w:val="00936045"/>
    <w:rsid w:val="00961794"/>
    <w:rsid w:val="009D0B45"/>
    <w:rsid w:val="009D7ED8"/>
    <w:rsid w:val="00A10B64"/>
    <w:rsid w:val="00AA2531"/>
    <w:rsid w:val="00AC7A68"/>
    <w:rsid w:val="00BF5FD7"/>
    <w:rsid w:val="00C32A21"/>
    <w:rsid w:val="00C6201F"/>
    <w:rsid w:val="00C97384"/>
    <w:rsid w:val="00D359FF"/>
    <w:rsid w:val="00D71965"/>
    <w:rsid w:val="00DB03C1"/>
    <w:rsid w:val="00E13594"/>
    <w:rsid w:val="00E2461D"/>
    <w:rsid w:val="00E345EF"/>
    <w:rsid w:val="00E77732"/>
    <w:rsid w:val="00F00C13"/>
    <w:rsid w:val="00F265A2"/>
    <w:rsid w:val="00F30146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152D"/>
  <w15:chartTrackingRefBased/>
  <w15:docId w15:val="{6405C949-D516-495D-8AF3-343FBC4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20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20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6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2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2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529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2021-01-22T07:14:00Z</dcterms:created>
  <dcterms:modified xsi:type="dcterms:W3CDTF">2021-01-25T09:00:00Z</dcterms:modified>
</cp:coreProperties>
</file>