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Пресс-релиз</w:t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15. 06. 2026</w:t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Более 724 миллион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>ов рублей субсидий получили работодатели региона от Социального фонда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С начала 2026 года Отделение СФР по Санкт-Петербургу и Ленинградской области возместило страхователям часть расходов на оплату дополнительных выходных дней, предоставляемых родителям, опекунам и попечителям детей с инвалидностью.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Законодательство дает взрослым, воспитывающим детей с особенностями здоровья, право на четыре дополнительных свободных от работы дня в месяц. Эти выходные не заменяют, а дополняют уже положенные по законодательству выходные и праздничные дни. Работодатель оплачивает сотруднику рабочую смену в размере средней зарплаты, а региональное Отделение СФР возмещает ему понесенные расходы.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На сегодняшний день данной субсидией от Соцфонда воспользовалось более 2 тысяч работодателей региона. Всего с начала года региональное Отделение оплатило около 60 тысяч дополнительных выходных дней на сумму свыше 724 миллионов рублей. 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«Это время взрослые могут посвятить уходу за ребенком: сходить на консультацию к специалисту, провести обследование, получить необходимое лекарство или просто погулять с ребенком. Мама и папа вправе брать такие дни по очереди и даже одновременно», – говорит управляющий Отделением Социального фонда по СПБ и ЛО Константин Островский.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У родителей есть выбор, как им удобнее использовать положенные дополнительные выходные дни. Они могут брать их ежемесячно, либо накопить и позже оформить в виде отпуска, но не более 24 дней подряд. Важно учесть при этом, что все положенные выходные дни нужно успеть использовать в течение того года, когда они накоплены. Перенести их на следующий календарный период или компенсировать деньгами нельзя.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Заявление на оплату дополнительных выходных получатель услуги может подать в отдел кадров по месту работы, согласовав при этом с работодателем график предоставления таких дней. К заявлению необходимо приложить справку с работы второго родителя о предоставлении ему дополнительных выходных дней. Если мама или папа сменили работу в текущем году, от них также понадобится справка о предоставленных дополнительных выходных днях с предыдущего места работы.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Дополнительная информация – на сайте регионального Отделения: https://sfr.gov.ru/branches/spb/ или в клиентских службах региона.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Телефон круглосуточного единого контакт-центра: 8-800-100-00-01 (звонок бесплатный).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 xml:space="preserve">  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567" w:top="2522" w:footer="537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qFormat/>
    <w:pPr>
      <w:keepNext w:val="true"/>
      <w:widowControl/>
      <w:bidi w:val="0"/>
      <w:spacing w:before="0" w:after="0"/>
      <w:ind w:hanging="432" w:left="432"/>
      <w:jc w:val="left"/>
      <w:outlineLvl w:val="0"/>
    </w:pPr>
    <w:rPr>
      <w:rFonts w:cs="Arial Unicode MS" w:ascii="Times New Roman" w:hAnsi="Times New Roman" w:eastAsia="Arial Unicode MS"/>
      <w:b/>
      <w:bCs/>
      <w:color w:val="000000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0ef5"/>
    <w:rPr>
      <w:color w:themeColor="followedHyperlink" w:val="FF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">
    <w:name w:val="header"/>
    <w:link w:val="Style8"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pPr>
      <w:pBdr/>
      <w:spacing w:lineRule="auto" w:line="259" w:before="0" w:after="16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m-0" w:customStyle="1">
    <w:name w:val="m-0"/>
    <w:basedOn w:val="Normal"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docy" w:customStyle="1">
    <w:name w:val="docy"/>
    <w:basedOn w:val="Normal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LibreOffice/25.2.6.2$Linux_X86_64 LibreOffice_project/520$Build-2</Application>
  <AppVersion>15.0000</AppVersion>
  <Pages>2</Pages>
  <Words>330</Words>
  <Characters>2180</Characters>
  <CharactersWithSpaces>2536</CharactersWithSpaces>
  <Paragraphs>16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2026-06-15T11:13:00Z</dcterms:created>
  <dc:creator>Пашкевич Дарья Дмитриевна</dc:creator>
  <dc:description/>
  <dc:language>ru-RU</dc:language>
  <cp:lastModifiedBy>Суворова Инесса Владиславовна</cp:lastModifiedBy>
  <dcterms:modified xsi:type="dcterms:W3CDTF">2026-06-15T11:36:00Z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